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6C7774" w14:paraId="71920A5E" w14:textId="77777777" w:rsidTr="00A24BB4">
        <w:tc>
          <w:tcPr>
            <w:tcW w:w="13948" w:type="dxa"/>
          </w:tcPr>
          <w:p w14:paraId="6FD8F73E" w14:textId="22A10A9B" w:rsidR="006C7774" w:rsidRPr="00E512BE" w:rsidRDefault="006C7774" w:rsidP="00663833">
            <w:pPr>
              <w:rPr>
                <w:b/>
              </w:rPr>
            </w:pPr>
            <w:r w:rsidRPr="00E512BE">
              <w:rPr>
                <w:b/>
              </w:rPr>
              <w:t>Information required for reporting the take of Associated Water</w:t>
            </w:r>
            <w:r w:rsidR="00535CA2">
              <w:rPr>
                <w:b/>
              </w:rPr>
              <w:t xml:space="preserve"> (AWT)</w:t>
            </w:r>
            <w:r w:rsidRPr="00E512BE">
              <w:rPr>
                <w:b/>
              </w:rPr>
              <w:t xml:space="preserve"> by mining tenure holders under the Mineral Resources Act 1989 s334ZP and the Mineral Resources Regulation 2013</w:t>
            </w:r>
            <w:r w:rsidR="000A5F84">
              <w:rPr>
                <w:b/>
              </w:rPr>
              <w:t xml:space="preserve"> (MRR)</w:t>
            </w:r>
            <w:r w:rsidRPr="00E512BE">
              <w:rPr>
                <w:b/>
              </w:rPr>
              <w:t xml:space="preserve"> s31A-31C</w:t>
            </w:r>
            <w:r w:rsidR="00DA3B00">
              <w:rPr>
                <w:b/>
              </w:rPr>
              <w:t xml:space="preserve">. </w:t>
            </w:r>
            <w:r w:rsidR="00CC4A2C">
              <w:rPr>
                <w:b/>
              </w:rPr>
              <w:t xml:space="preserve">Complete all three tables below. </w:t>
            </w:r>
            <w:r w:rsidR="00DA3B00">
              <w:rPr>
                <w:b/>
              </w:rPr>
              <w:t>Ad</w:t>
            </w:r>
            <w:r w:rsidR="00A24BB4">
              <w:rPr>
                <w:b/>
              </w:rPr>
              <w:t>d</w:t>
            </w:r>
            <w:r w:rsidR="00DA3B00">
              <w:rPr>
                <w:b/>
              </w:rPr>
              <w:t xml:space="preserve"> new rows as required.</w:t>
            </w:r>
          </w:p>
        </w:tc>
      </w:tr>
    </w:tbl>
    <w:p w14:paraId="0AA4BA4D" w14:textId="77777777" w:rsidR="00A24BB4" w:rsidRDefault="00A24BB4" w:rsidP="00A24BB4">
      <w:pPr>
        <w:spacing w:after="0"/>
      </w:pPr>
    </w:p>
    <w:tbl>
      <w:tblPr>
        <w:tblStyle w:val="TableGrid"/>
        <w:tblW w:w="0" w:type="auto"/>
        <w:tblLook w:val="04A0" w:firstRow="1" w:lastRow="0" w:firstColumn="1" w:lastColumn="0" w:noHBand="0" w:noVBand="1"/>
      </w:tblPr>
      <w:tblGrid>
        <w:gridCol w:w="1309"/>
        <w:gridCol w:w="1236"/>
        <w:gridCol w:w="1226"/>
        <w:gridCol w:w="1096"/>
        <w:gridCol w:w="1431"/>
        <w:gridCol w:w="2402"/>
        <w:gridCol w:w="1348"/>
        <w:gridCol w:w="1341"/>
        <w:gridCol w:w="1219"/>
        <w:gridCol w:w="1340"/>
      </w:tblGrid>
      <w:tr w:rsidR="00FB3882" w14:paraId="4D935E91" w14:textId="77777777" w:rsidTr="00321551">
        <w:tc>
          <w:tcPr>
            <w:tcW w:w="13948" w:type="dxa"/>
            <w:gridSpan w:val="10"/>
          </w:tcPr>
          <w:p w14:paraId="6C8BE314" w14:textId="77777777" w:rsidR="00FB3882" w:rsidRPr="00EA6EB5" w:rsidRDefault="00FB3882">
            <w:pPr>
              <w:rPr>
                <w:b/>
              </w:rPr>
            </w:pPr>
            <w:r w:rsidRPr="00EA6EB5">
              <w:rPr>
                <w:b/>
              </w:rPr>
              <w:t>Mine data</w:t>
            </w:r>
          </w:p>
        </w:tc>
      </w:tr>
      <w:tr w:rsidR="001E7502" w14:paraId="3295F369" w14:textId="77777777" w:rsidTr="00DA3B00">
        <w:tc>
          <w:tcPr>
            <w:tcW w:w="1319" w:type="dxa"/>
          </w:tcPr>
          <w:p w14:paraId="299FB486" w14:textId="77777777" w:rsidR="00AC7AF9" w:rsidRDefault="008F4BBB">
            <w:r w:rsidRPr="008F4BBB">
              <w:t>Attribute name</w:t>
            </w:r>
          </w:p>
        </w:tc>
        <w:tc>
          <w:tcPr>
            <w:tcW w:w="1239" w:type="dxa"/>
          </w:tcPr>
          <w:p w14:paraId="6EDD35F8" w14:textId="77777777" w:rsidR="00AC7AF9" w:rsidRPr="00656043" w:rsidRDefault="008F4BBB" w:rsidP="00A75413">
            <w:pPr>
              <w:rPr>
                <w:b/>
                <w:bCs/>
              </w:rPr>
            </w:pPr>
            <w:r w:rsidRPr="00656043">
              <w:rPr>
                <w:b/>
                <w:bCs/>
              </w:rPr>
              <w:t>Tenure identifier</w:t>
            </w:r>
            <w:r w:rsidR="00A75413" w:rsidRPr="00656043">
              <w:rPr>
                <w:b/>
                <w:bCs/>
                <w:vertAlign w:val="superscript"/>
              </w:rPr>
              <w:t>1</w:t>
            </w:r>
          </w:p>
        </w:tc>
        <w:tc>
          <w:tcPr>
            <w:tcW w:w="1239" w:type="dxa"/>
          </w:tcPr>
          <w:p w14:paraId="376C5B43" w14:textId="77777777" w:rsidR="00AC7AF9" w:rsidRPr="00656043" w:rsidRDefault="005C2F20" w:rsidP="005C2F20">
            <w:pPr>
              <w:rPr>
                <w:b/>
                <w:bCs/>
              </w:rPr>
            </w:pPr>
            <w:r w:rsidRPr="00656043">
              <w:rPr>
                <w:b/>
                <w:bCs/>
              </w:rPr>
              <w:t>Mine name</w:t>
            </w:r>
            <w:r w:rsidR="00722BD7" w:rsidRPr="00656043">
              <w:rPr>
                <w:b/>
                <w:bCs/>
                <w:vertAlign w:val="superscript"/>
              </w:rPr>
              <w:t>2</w:t>
            </w:r>
          </w:p>
        </w:tc>
        <w:tc>
          <w:tcPr>
            <w:tcW w:w="1099" w:type="dxa"/>
          </w:tcPr>
          <w:p w14:paraId="52F5F008" w14:textId="77777777" w:rsidR="00AC7AF9" w:rsidRPr="00656043" w:rsidRDefault="005C2F20" w:rsidP="0098152D">
            <w:pPr>
              <w:rPr>
                <w:b/>
                <w:bCs/>
              </w:rPr>
            </w:pPr>
            <w:r w:rsidRPr="00656043">
              <w:rPr>
                <w:b/>
                <w:bCs/>
              </w:rPr>
              <w:t>Mined product</w:t>
            </w:r>
            <w:r w:rsidR="0098152D" w:rsidRPr="00656043">
              <w:rPr>
                <w:b/>
                <w:bCs/>
                <w:vertAlign w:val="superscript"/>
              </w:rPr>
              <w:t>3</w:t>
            </w:r>
          </w:p>
        </w:tc>
        <w:tc>
          <w:tcPr>
            <w:tcW w:w="1439" w:type="dxa"/>
          </w:tcPr>
          <w:p w14:paraId="400642D1" w14:textId="77777777" w:rsidR="00AC7AF9" w:rsidRPr="00656043" w:rsidRDefault="00BA0E19" w:rsidP="005D40FE">
            <w:pPr>
              <w:rPr>
                <w:b/>
                <w:bCs/>
              </w:rPr>
            </w:pPr>
            <w:r w:rsidRPr="00656043">
              <w:rPr>
                <w:b/>
                <w:bCs/>
              </w:rPr>
              <w:t>Geological basin being extracted from</w:t>
            </w:r>
            <w:r w:rsidR="005D40FE" w:rsidRPr="00656043">
              <w:rPr>
                <w:b/>
                <w:bCs/>
                <w:vertAlign w:val="superscript"/>
              </w:rPr>
              <w:t>4</w:t>
            </w:r>
          </w:p>
        </w:tc>
        <w:tc>
          <w:tcPr>
            <w:tcW w:w="2340" w:type="dxa"/>
          </w:tcPr>
          <w:p w14:paraId="4B3E1295" w14:textId="77777777" w:rsidR="00AC7AF9" w:rsidRPr="00656043" w:rsidRDefault="00565D1F" w:rsidP="00565D1F">
            <w:pPr>
              <w:rPr>
                <w:b/>
                <w:bCs/>
              </w:rPr>
            </w:pPr>
            <w:r w:rsidRPr="00656043">
              <w:rPr>
                <w:b/>
                <w:bCs/>
              </w:rPr>
              <w:t>Code/d</w:t>
            </w:r>
            <w:r w:rsidR="0001577E" w:rsidRPr="00656043">
              <w:rPr>
                <w:b/>
                <w:bCs/>
              </w:rPr>
              <w:t>ewatered geological formation/Stratigraphic unit</w:t>
            </w:r>
            <w:r w:rsidR="0001577E" w:rsidRPr="00656043">
              <w:rPr>
                <w:b/>
                <w:bCs/>
                <w:vertAlign w:val="superscript"/>
              </w:rPr>
              <w:t>5</w:t>
            </w:r>
          </w:p>
        </w:tc>
        <w:tc>
          <w:tcPr>
            <w:tcW w:w="1352" w:type="dxa"/>
          </w:tcPr>
          <w:p w14:paraId="275BC2FC" w14:textId="77777777" w:rsidR="00AC7AF9" w:rsidRPr="00656043" w:rsidRDefault="00390B29" w:rsidP="0009122A">
            <w:pPr>
              <w:rPr>
                <w:b/>
                <w:bCs/>
              </w:rPr>
            </w:pPr>
            <w:r w:rsidRPr="00656043">
              <w:rPr>
                <w:b/>
                <w:bCs/>
              </w:rPr>
              <w:t>Above or below uppermost water table</w:t>
            </w:r>
            <w:r w:rsidR="0009122A" w:rsidRPr="00656043">
              <w:rPr>
                <w:b/>
                <w:bCs/>
                <w:vertAlign w:val="superscript"/>
              </w:rPr>
              <w:t>6</w:t>
            </w:r>
          </w:p>
        </w:tc>
        <w:tc>
          <w:tcPr>
            <w:tcW w:w="1350" w:type="dxa"/>
          </w:tcPr>
          <w:p w14:paraId="065403C2" w14:textId="77777777" w:rsidR="00AC7AF9" w:rsidRPr="00656043" w:rsidRDefault="00390B29" w:rsidP="00C8692A">
            <w:pPr>
              <w:rPr>
                <w:b/>
                <w:bCs/>
              </w:rPr>
            </w:pPr>
            <w:r w:rsidRPr="00656043">
              <w:rPr>
                <w:b/>
                <w:bCs/>
              </w:rPr>
              <w:t>Type of seepage</w:t>
            </w:r>
            <w:r w:rsidR="00C8692A" w:rsidRPr="00656043">
              <w:rPr>
                <w:b/>
                <w:bCs/>
                <w:vertAlign w:val="superscript"/>
              </w:rPr>
              <w:t>7</w:t>
            </w:r>
          </w:p>
        </w:tc>
        <w:tc>
          <w:tcPr>
            <w:tcW w:w="1229" w:type="dxa"/>
          </w:tcPr>
          <w:p w14:paraId="6020E485" w14:textId="77777777" w:rsidR="00AC7AF9" w:rsidRPr="00656043" w:rsidRDefault="00CE65C8" w:rsidP="00CE65C8">
            <w:pPr>
              <w:rPr>
                <w:b/>
                <w:bCs/>
              </w:rPr>
            </w:pPr>
            <w:r w:rsidRPr="00656043">
              <w:rPr>
                <w:b/>
                <w:bCs/>
              </w:rPr>
              <w:t>Section name</w:t>
            </w:r>
            <w:r w:rsidR="00713189" w:rsidRPr="00656043">
              <w:rPr>
                <w:b/>
                <w:bCs/>
                <w:vertAlign w:val="superscript"/>
              </w:rPr>
              <w:t>8</w:t>
            </w:r>
          </w:p>
        </w:tc>
        <w:tc>
          <w:tcPr>
            <w:tcW w:w="1342" w:type="dxa"/>
          </w:tcPr>
          <w:p w14:paraId="68EBA140" w14:textId="77777777" w:rsidR="00AC7AF9" w:rsidRPr="00656043" w:rsidRDefault="00425EFD">
            <w:pPr>
              <w:rPr>
                <w:b/>
                <w:bCs/>
              </w:rPr>
            </w:pPr>
            <w:r w:rsidRPr="00656043">
              <w:rPr>
                <w:b/>
                <w:bCs/>
              </w:rPr>
              <w:t>Comments</w:t>
            </w:r>
            <w:r w:rsidR="00713189" w:rsidRPr="00656043">
              <w:rPr>
                <w:b/>
                <w:bCs/>
                <w:vertAlign w:val="superscript"/>
              </w:rPr>
              <w:t>9</w:t>
            </w:r>
          </w:p>
        </w:tc>
      </w:tr>
      <w:tr w:rsidR="003704C8" w14:paraId="2B56C260" w14:textId="77777777" w:rsidTr="00DA3B00">
        <w:tc>
          <w:tcPr>
            <w:tcW w:w="1319" w:type="dxa"/>
            <w:shd w:val="clear" w:color="auto" w:fill="F2F2F2" w:themeFill="background1" w:themeFillShade="F2"/>
          </w:tcPr>
          <w:p w14:paraId="3DA7D0D8" w14:textId="77777777" w:rsidR="00AC7AF9" w:rsidRDefault="008F4BBB">
            <w:r>
              <w:t>Example</w:t>
            </w:r>
          </w:p>
        </w:tc>
        <w:tc>
          <w:tcPr>
            <w:tcW w:w="1239" w:type="dxa"/>
            <w:shd w:val="clear" w:color="auto" w:fill="F2F2F2" w:themeFill="background1" w:themeFillShade="F2"/>
          </w:tcPr>
          <w:p w14:paraId="6A03D62B" w14:textId="77777777" w:rsidR="00AC7AF9" w:rsidRDefault="008F4BBB">
            <w:r w:rsidRPr="008F4BBB">
              <w:t>MDL 123, ML 123456</w:t>
            </w:r>
          </w:p>
        </w:tc>
        <w:tc>
          <w:tcPr>
            <w:tcW w:w="1239" w:type="dxa"/>
            <w:shd w:val="clear" w:color="auto" w:fill="F2F2F2" w:themeFill="background1" w:themeFillShade="F2"/>
          </w:tcPr>
          <w:p w14:paraId="303C1872" w14:textId="77777777" w:rsidR="00AC7AF9" w:rsidRDefault="00EA6EB5">
            <w:r>
              <w:t>New Sun Mine</w:t>
            </w:r>
          </w:p>
        </w:tc>
        <w:tc>
          <w:tcPr>
            <w:tcW w:w="1099" w:type="dxa"/>
            <w:shd w:val="clear" w:color="auto" w:fill="F2F2F2" w:themeFill="background1" w:themeFillShade="F2"/>
          </w:tcPr>
          <w:p w14:paraId="0C82ABAD" w14:textId="77777777" w:rsidR="00AC7AF9" w:rsidRDefault="005C2F20">
            <w:r w:rsidRPr="00BD4160">
              <w:t>Coal</w:t>
            </w:r>
          </w:p>
        </w:tc>
        <w:tc>
          <w:tcPr>
            <w:tcW w:w="1439" w:type="dxa"/>
            <w:shd w:val="clear" w:color="auto" w:fill="F2F2F2" w:themeFill="background1" w:themeFillShade="F2"/>
          </w:tcPr>
          <w:p w14:paraId="0C00D2A9" w14:textId="77777777" w:rsidR="00AC7AF9" w:rsidRDefault="00BA0E19" w:rsidP="00E6669B">
            <w:r>
              <w:t>Bowen</w:t>
            </w:r>
          </w:p>
        </w:tc>
        <w:tc>
          <w:tcPr>
            <w:tcW w:w="2340" w:type="dxa"/>
            <w:shd w:val="clear" w:color="auto" w:fill="F2F2F2" w:themeFill="background1" w:themeFillShade="F2"/>
          </w:tcPr>
          <w:p w14:paraId="169E4376" w14:textId="77777777" w:rsidR="00565D1F" w:rsidRDefault="00565D1F">
            <w:r w:rsidRPr="00565D1F">
              <w:t xml:space="preserve">WANDA     </w:t>
            </w:r>
          </w:p>
          <w:p w14:paraId="508EC3D5" w14:textId="77777777" w:rsidR="00AC7AF9" w:rsidRDefault="00565D1F" w:rsidP="00565D1F">
            <w:r w:rsidRPr="00565D1F">
              <w:t xml:space="preserve">Wandoan </w:t>
            </w:r>
            <w:r>
              <w:t>F</w:t>
            </w:r>
            <w:r w:rsidRPr="00565D1F">
              <w:t>ormation</w:t>
            </w:r>
          </w:p>
        </w:tc>
        <w:tc>
          <w:tcPr>
            <w:tcW w:w="1352" w:type="dxa"/>
            <w:shd w:val="clear" w:color="auto" w:fill="F2F2F2" w:themeFill="background1" w:themeFillShade="F2"/>
          </w:tcPr>
          <w:p w14:paraId="0FFBA48A" w14:textId="77777777" w:rsidR="00AC7AF9" w:rsidRDefault="00390B29">
            <w:r w:rsidRPr="0001577E">
              <w:t>Below</w:t>
            </w:r>
            <w:r>
              <w:t xml:space="preserve"> </w:t>
            </w:r>
            <w:r w:rsidRPr="0001577E">
              <w:t>water</w:t>
            </w:r>
            <w:r>
              <w:t xml:space="preserve"> </w:t>
            </w:r>
            <w:r w:rsidRPr="0001577E">
              <w:t>table</w:t>
            </w:r>
          </w:p>
        </w:tc>
        <w:tc>
          <w:tcPr>
            <w:tcW w:w="1350" w:type="dxa"/>
            <w:shd w:val="clear" w:color="auto" w:fill="F2F2F2" w:themeFill="background1" w:themeFillShade="F2"/>
          </w:tcPr>
          <w:p w14:paraId="43E3F3A9" w14:textId="77777777" w:rsidR="00AC7AF9" w:rsidRDefault="00DE274E">
            <w:r>
              <w:t>C</w:t>
            </w:r>
          </w:p>
        </w:tc>
        <w:tc>
          <w:tcPr>
            <w:tcW w:w="1229" w:type="dxa"/>
            <w:shd w:val="clear" w:color="auto" w:fill="F2F2F2" w:themeFill="background1" w:themeFillShade="F2"/>
          </w:tcPr>
          <w:p w14:paraId="1B0776B5" w14:textId="77777777" w:rsidR="00AC7AF9" w:rsidRDefault="00791F95" w:rsidP="00713189">
            <w:r>
              <w:t>Middle</w:t>
            </w:r>
          </w:p>
        </w:tc>
        <w:tc>
          <w:tcPr>
            <w:tcW w:w="1342" w:type="dxa"/>
            <w:shd w:val="clear" w:color="auto" w:fill="F2F2F2" w:themeFill="background1" w:themeFillShade="F2"/>
          </w:tcPr>
          <w:p w14:paraId="0861CF34" w14:textId="77777777" w:rsidR="00AC7AF9" w:rsidRDefault="00AC7AF9"/>
        </w:tc>
      </w:tr>
      <w:tr w:rsidR="001E7502" w14:paraId="257A2E2D" w14:textId="77777777" w:rsidTr="00DA3B00">
        <w:tc>
          <w:tcPr>
            <w:tcW w:w="1319" w:type="dxa"/>
          </w:tcPr>
          <w:p w14:paraId="3A6BB777" w14:textId="77777777" w:rsidR="0001615E" w:rsidRDefault="0001615E"/>
        </w:tc>
        <w:tc>
          <w:tcPr>
            <w:tcW w:w="1239" w:type="dxa"/>
          </w:tcPr>
          <w:p w14:paraId="516A1ADC" w14:textId="77777777" w:rsidR="0001615E" w:rsidRPr="008F4BBB" w:rsidRDefault="0001615E"/>
        </w:tc>
        <w:tc>
          <w:tcPr>
            <w:tcW w:w="1239" w:type="dxa"/>
          </w:tcPr>
          <w:p w14:paraId="6E954076" w14:textId="77777777" w:rsidR="0001615E" w:rsidRPr="00BD4160" w:rsidRDefault="0001615E"/>
        </w:tc>
        <w:tc>
          <w:tcPr>
            <w:tcW w:w="1099" w:type="dxa"/>
          </w:tcPr>
          <w:p w14:paraId="6ED6E733" w14:textId="77777777" w:rsidR="0001615E" w:rsidRDefault="0001615E"/>
        </w:tc>
        <w:tc>
          <w:tcPr>
            <w:tcW w:w="1439" w:type="dxa"/>
          </w:tcPr>
          <w:p w14:paraId="457084F1" w14:textId="77777777" w:rsidR="0001615E" w:rsidRDefault="0001615E"/>
        </w:tc>
        <w:tc>
          <w:tcPr>
            <w:tcW w:w="2340" w:type="dxa"/>
          </w:tcPr>
          <w:p w14:paraId="08A8DD4F" w14:textId="77777777" w:rsidR="0001615E" w:rsidRDefault="0001615E"/>
        </w:tc>
        <w:tc>
          <w:tcPr>
            <w:tcW w:w="1352" w:type="dxa"/>
          </w:tcPr>
          <w:p w14:paraId="513EC550" w14:textId="77777777" w:rsidR="0001615E" w:rsidRDefault="0001615E"/>
        </w:tc>
        <w:tc>
          <w:tcPr>
            <w:tcW w:w="1350" w:type="dxa"/>
          </w:tcPr>
          <w:p w14:paraId="70246EF1" w14:textId="77777777" w:rsidR="0001615E" w:rsidRDefault="0001615E"/>
        </w:tc>
        <w:tc>
          <w:tcPr>
            <w:tcW w:w="1229" w:type="dxa"/>
          </w:tcPr>
          <w:p w14:paraId="40C10E6F" w14:textId="77777777" w:rsidR="0001615E" w:rsidRDefault="0001615E"/>
        </w:tc>
        <w:tc>
          <w:tcPr>
            <w:tcW w:w="1342" w:type="dxa"/>
          </w:tcPr>
          <w:p w14:paraId="49538DF8" w14:textId="77777777" w:rsidR="0001615E" w:rsidRDefault="0001615E"/>
        </w:tc>
      </w:tr>
      <w:tr w:rsidR="00697B6E" w14:paraId="370665D9" w14:textId="77777777" w:rsidTr="00616D59">
        <w:tc>
          <w:tcPr>
            <w:tcW w:w="13948" w:type="dxa"/>
            <w:gridSpan w:val="10"/>
          </w:tcPr>
          <w:p w14:paraId="5B4A27F9" w14:textId="77777777" w:rsidR="00697B6E" w:rsidRDefault="00F04971" w:rsidP="00697B6E">
            <w:r w:rsidRPr="00F04971">
              <w:rPr>
                <w:vertAlign w:val="superscript"/>
              </w:rPr>
              <w:t>10</w:t>
            </w:r>
            <w:r w:rsidR="00697B6E" w:rsidRPr="0001615E">
              <w:t>Description of aquifer interference activity</w:t>
            </w:r>
          </w:p>
          <w:p w14:paraId="46EC5B11" w14:textId="77777777" w:rsidR="00697B6E" w:rsidRDefault="00697B6E" w:rsidP="00EA6EB5">
            <w:pPr>
              <w:shd w:val="clear" w:color="auto" w:fill="F2F2F2" w:themeFill="background1" w:themeFillShade="F2"/>
            </w:pPr>
            <w:r>
              <w:t>Example: M</w:t>
            </w:r>
            <w:r w:rsidRPr="00A42E64">
              <w:t>ine dewatering of underground water to the extent necessary to achieve safe operating conditions in the mine</w:t>
            </w:r>
            <w:r>
              <w:t>.</w:t>
            </w:r>
          </w:p>
          <w:p w14:paraId="746E6C52" w14:textId="77777777" w:rsidR="00697B6E" w:rsidRDefault="00697B6E" w:rsidP="00697B6E"/>
          <w:p w14:paraId="4B3E7B20" w14:textId="77777777" w:rsidR="00697B6E" w:rsidRDefault="00697B6E"/>
        </w:tc>
      </w:tr>
    </w:tbl>
    <w:p w14:paraId="0B7E0CE7" w14:textId="77777777" w:rsidR="00DA3B00" w:rsidRDefault="00DA3B00" w:rsidP="00A24BB4">
      <w:pPr>
        <w:spacing w:after="0"/>
      </w:pPr>
    </w:p>
    <w:tbl>
      <w:tblPr>
        <w:tblStyle w:val="TableGrid"/>
        <w:tblW w:w="0" w:type="auto"/>
        <w:tblLook w:val="04A0" w:firstRow="1" w:lastRow="0" w:firstColumn="1" w:lastColumn="0" w:noHBand="0" w:noVBand="1"/>
      </w:tblPr>
      <w:tblGrid>
        <w:gridCol w:w="1319"/>
        <w:gridCol w:w="2478"/>
        <w:gridCol w:w="2538"/>
        <w:gridCol w:w="2340"/>
        <w:gridCol w:w="2702"/>
        <w:gridCol w:w="2571"/>
      </w:tblGrid>
      <w:tr w:rsidR="007F1677" w14:paraId="0A8788F8" w14:textId="77777777" w:rsidTr="00473E3C">
        <w:tc>
          <w:tcPr>
            <w:tcW w:w="13948" w:type="dxa"/>
            <w:gridSpan w:val="6"/>
          </w:tcPr>
          <w:p w14:paraId="7DC1AFF0" w14:textId="77777777" w:rsidR="007F1677" w:rsidRDefault="007F1677" w:rsidP="00607173">
            <w:r>
              <w:t xml:space="preserve">This table should be completed if you are </w:t>
            </w:r>
            <w:r w:rsidRPr="007F1677">
              <w:t>operating a bore or bore field</w:t>
            </w:r>
            <w:r w:rsidR="00607173">
              <w:t>. D</w:t>
            </w:r>
            <w:r w:rsidR="00E11379">
              <w:t xml:space="preserve">etails of extraction bores should be provided </w:t>
            </w:r>
            <w:r w:rsidR="00607173">
              <w:t>using</w:t>
            </w:r>
            <w:r w:rsidR="00E11379">
              <w:t xml:space="preserve"> the template available on </w:t>
            </w:r>
            <w:hyperlink r:id="rId6" w:history="1">
              <w:r w:rsidR="00FC66D3">
                <w:rPr>
                  <w:rStyle w:val="Hyperlink"/>
                </w:rPr>
                <w:t>https://www.business.qld.gov.au/industries/mining-energy-water/resources/minerals-coal/reports-notices/water-reporting</w:t>
              </w:r>
            </w:hyperlink>
          </w:p>
        </w:tc>
      </w:tr>
      <w:tr w:rsidR="007F1677" w14:paraId="30CE2D78" w14:textId="77777777" w:rsidTr="00BB63ED">
        <w:tc>
          <w:tcPr>
            <w:tcW w:w="13948" w:type="dxa"/>
            <w:gridSpan w:val="6"/>
          </w:tcPr>
          <w:p w14:paraId="0C9E5276" w14:textId="77777777" w:rsidR="007F1677" w:rsidRDefault="007F1677"/>
        </w:tc>
      </w:tr>
      <w:tr w:rsidR="00813C17" w14:paraId="24741A79" w14:textId="77777777" w:rsidTr="00DA3B00">
        <w:tc>
          <w:tcPr>
            <w:tcW w:w="1319" w:type="dxa"/>
          </w:tcPr>
          <w:p w14:paraId="70B31BB3" w14:textId="77777777" w:rsidR="00813C17" w:rsidRDefault="00813C17" w:rsidP="00697B6E">
            <w:r w:rsidRPr="008F4BBB">
              <w:t>Attribute name</w:t>
            </w:r>
          </w:p>
        </w:tc>
        <w:tc>
          <w:tcPr>
            <w:tcW w:w="2478" w:type="dxa"/>
          </w:tcPr>
          <w:p w14:paraId="223A8A54" w14:textId="77777777" w:rsidR="00813C17" w:rsidRPr="00656043" w:rsidRDefault="00813C17" w:rsidP="00697B6E">
            <w:pPr>
              <w:rPr>
                <w:b/>
                <w:bCs/>
              </w:rPr>
            </w:pPr>
            <w:r w:rsidRPr="00656043">
              <w:rPr>
                <w:b/>
                <w:bCs/>
              </w:rPr>
              <w:t>Are you operating a bore/bore field to extract AW</w:t>
            </w:r>
          </w:p>
        </w:tc>
        <w:tc>
          <w:tcPr>
            <w:tcW w:w="2538" w:type="dxa"/>
          </w:tcPr>
          <w:p w14:paraId="3AD98C5C" w14:textId="77777777" w:rsidR="00813C17" w:rsidRPr="00656043" w:rsidRDefault="00813C17" w:rsidP="00697B6E">
            <w:pPr>
              <w:rPr>
                <w:b/>
                <w:bCs/>
              </w:rPr>
            </w:pPr>
            <w:r w:rsidRPr="00656043">
              <w:rPr>
                <w:b/>
                <w:bCs/>
              </w:rPr>
              <w:t>GWDB RN numbers for water bores</w:t>
            </w:r>
            <w:r w:rsidRPr="00656043">
              <w:rPr>
                <w:b/>
                <w:bCs/>
                <w:vertAlign w:val="superscript"/>
              </w:rPr>
              <w:t>11</w:t>
            </w:r>
          </w:p>
        </w:tc>
        <w:tc>
          <w:tcPr>
            <w:tcW w:w="2340" w:type="dxa"/>
          </w:tcPr>
          <w:p w14:paraId="46EA8914" w14:textId="77777777" w:rsidR="00813C17" w:rsidRPr="00656043" w:rsidRDefault="00813C17" w:rsidP="00697B6E">
            <w:pPr>
              <w:rPr>
                <w:b/>
                <w:bCs/>
              </w:rPr>
            </w:pPr>
            <w:r w:rsidRPr="00656043">
              <w:rPr>
                <w:b/>
                <w:bCs/>
              </w:rPr>
              <w:t>Compliant Meter Installed on Bore</w:t>
            </w:r>
            <w:r w:rsidR="0059412A" w:rsidRPr="00656043">
              <w:rPr>
                <w:b/>
                <w:bCs/>
                <w:vertAlign w:val="superscript"/>
              </w:rPr>
              <w:t>12</w:t>
            </w:r>
          </w:p>
        </w:tc>
        <w:tc>
          <w:tcPr>
            <w:tcW w:w="2702" w:type="dxa"/>
          </w:tcPr>
          <w:p w14:paraId="2E998E12" w14:textId="77777777" w:rsidR="00813C17" w:rsidRPr="00656043" w:rsidRDefault="00813C17" w:rsidP="00697B6E">
            <w:pPr>
              <w:rPr>
                <w:b/>
                <w:bCs/>
              </w:rPr>
            </w:pPr>
            <w:r w:rsidRPr="00656043">
              <w:rPr>
                <w:b/>
                <w:bCs/>
              </w:rPr>
              <w:t>Year Compliant Meter to be Installed</w:t>
            </w:r>
            <w:r w:rsidR="0059412A" w:rsidRPr="00656043">
              <w:rPr>
                <w:b/>
                <w:bCs/>
                <w:vertAlign w:val="superscript"/>
              </w:rPr>
              <w:t>13</w:t>
            </w:r>
          </w:p>
        </w:tc>
        <w:tc>
          <w:tcPr>
            <w:tcW w:w="2571" w:type="dxa"/>
          </w:tcPr>
          <w:p w14:paraId="53EC1F28" w14:textId="77777777" w:rsidR="00813C17" w:rsidRPr="00656043" w:rsidRDefault="00813C17" w:rsidP="00697B6E">
            <w:pPr>
              <w:rPr>
                <w:b/>
                <w:bCs/>
              </w:rPr>
            </w:pPr>
            <w:r w:rsidRPr="00656043">
              <w:rPr>
                <w:b/>
                <w:bCs/>
              </w:rPr>
              <w:t>Comments</w:t>
            </w:r>
            <w:r w:rsidR="00414957" w:rsidRPr="00656043">
              <w:rPr>
                <w:b/>
                <w:bCs/>
                <w:vertAlign w:val="superscript"/>
              </w:rPr>
              <w:t>9</w:t>
            </w:r>
          </w:p>
        </w:tc>
      </w:tr>
      <w:tr w:rsidR="003704C8" w14:paraId="0DACA220" w14:textId="77777777" w:rsidTr="00DA3B00">
        <w:tc>
          <w:tcPr>
            <w:tcW w:w="1319" w:type="dxa"/>
            <w:shd w:val="clear" w:color="auto" w:fill="F2F2F2" w:themeFill="background1" w:themeFillShade="F2"/>
          </w:tcPr>
          <w:p w14:paraId="15285EBD" w14:textId="77777777" w:rsidR="00813C17" w:rsidRDefault="00813C17" w:rsidP="00697B6E">
            <w:r>
              <w:t>Example</w:t>
            </w:r>
          </w:p>
        </w:tc>
        <w:tc>
          <w:tcPr>
            <w:tcW w:w="2478" w:type="dxa"/>
            <w:shd w:val="clear" w:color="auto" w:fill="F2F2F2" w:themeFill="background1" w:themeFillShade="F2"/>
          </w:tcPr>
          <w:p w14:paraId="48C736C7" w14:textId="77777777" w:rsidR="00813C17" w:rsidRPr="00BD4160" w:rsidRDefault="00813C17" w:rsidP="00697B6E">
            <w:r>
              <w:t>Yes</w:t>
            </w:r>
          </w:p>
        </w:tc>
        <w:tc>
          <w:tcPr>
            <w:tcW w:w="2538" w:type="dxa"/>
            <w:shd w:val="clear" w:color="auto" w:fill="F2F2F2" w:themeFill="background1" w:themeFillShade="F2"/>
          </w:tcPr>
          <w:p w14:paraId="1D8D3A06" w14:textId="77777777" w:rsidR="00813C17" w:rsidRDefault="00813C17" w:rsidP="00697B6E">
            <w:proofErr w:type="spellStart"/>
            <w:r>
              <w:t>RNxxxxxx</w:t>
            </w:r>
            <w:proofErr w:type="spellEnd"/>
          </w:p>
        </w:tc>
        <w:tc>
          <w:tcPr>
            <w:tcW w:w="2340" w:type="dxa"/>
            <w:shd w:val="clear" w:color="auto" w:fill="F2F2F2" w:themeFill="background1" w:themeFillShade="F2"/>
          </w:tcPr>
          <w:p w14:paraId="4DF7C7D4" w14:textId="77777777" w:rsidR="00813C17" w:rsidRDefault="0059412A" w:rsidP="00697B6E">
            <w:r>
              <w:t>Yes</w:t>
            </w:r>
          </w:p>
        </w:tc>
        <w:tc>
          <w:tcPr>
            <w:tcW w:w="2702" w:type="dxa"/>
            <w:shd w:val="clear" w:color="auto" w:fill="F2F2F2" w:themeFill="background1" w:themeFillShade="F2"/>
          </w:tcPr>
          <w:p w14:paraId="35B9ED14" w14:textId="77777777" w:rsidR="00813C17" w:rsidRDefault="00414957" w:rsidP="00697B6E">
            <w:r>
              <w:t>2021</w:t>
            </w:r>
          </w:p>
        </w:tc>
        <w:tc>
          <w:tcPr>
            <w:tcW w:w="2571" w:type="dxa"/>
            <w:shd w:val="clear" w:color="auto" w:fill="F2F2F2" w:themeFill="background1" w:themeFillShade="F2"/>
          </w:tcPr>
          <w:p w14:paraId="38C8E2AC" w14:textId="77777777" w:rsidR="00813C17" w:rsidRDefault="00813C17" w:rsidP="00697B6E"/>
        </w:tc>
      </w:tr>
      <w:tr w:rsidR="00AB73CC" w14:paraId="0653E50E" w14:textId="77777777" w:rsidTr="00DA3B00">
        <w:tc>
          <w:tcPr>
            <w:tcW w:w="1319" w:type="dxa"/>
          </w:tcPr>
          <w:p w14:paraId="32D45D99" w14:textId="77777777" w:rsidR="00AB73CC" w:rsidRDefault="00AB73CC" w:rsidP="00697B6E"/>
        </w:tc>
        <w:tc>
          <w:tcPr>
            <w:tcW w:w="2478" w:type="dxa"/>
          </w:tcPr>
          <w:p w14:paraId="1817845C" w14:textId="77777777" w:rsidR="00AB73CC" w:rsidRPr="00BD4160" w:rsidRDefault="00AB73CC" w:rsidP="00697B6E"/>
        </w:tc>
        <w:tc>
          <w:tcPr>
            <w:tcW w:w="2538" w:type="dxa"/>
          </w:tcPr>
          <w:p w14:paraId="593D85BA" w14:textId="77777777" w:rsidR="00AB73CC" w:rsidRDefault="00AB73CC" w:rsidP="00697B6E"/>
        </w:tc>
        <w:tc>
          <w:tcPr>
            <w:tcW w:w="2340" w:type="dxa"/>
          </w:tcPr>
          <w:p w14:paraId="28401547" w14:textId="77777777" w:rsidR="00AB73CC" w:rsidRDefault="00AB73CC" w:rsidP="00697B6E"/>
        </w:tc>
        <w:tc>
          <w:tcPr>
            <w:tcW w:w="2702" w:type="dxa"/>
          </w:tcPr>
          <w:p w14:paraId="3D7CFD11" w14:textId="77777777" w:rsidR="00AB73CC" w:rsidRDefault="00AB73CC" w:rsidP="00697B6E"/>
        </w:tc>
        <w:tc>
          <w:tcPr>
            <w:tcW w:w="2571" w:type="dxa"/>
          </w:tcPr>
          <w:p w14:paraId="7F053875" w14:textId="77777777" w:rsidR="00AB73CC" w:rsidRDefault="00AB73CC" w:rsidP="00697B6E"/>
        </w:tc>
      </w:tr>
      <w:tr w:rsidR="00AB73CC" w14:paraId="154E44E5" w14:textId="77777777" w:rsidTr="00DA3B00">
        <w:tc>
          <w:tcPr>
            <w:tcW w:w="1319" w:type="dxa"/>
          </w:tcPr>
          <w:p w14:paraId="5B870A00" w14:textId="77777777" w:rsidR="00AB73CC" w:rsidRDefault="00AB73CC" w:rsidP="00697B6E"/>
        </w:tc>
        <w:tc>
          <w:tcPr>
            <w:tcW w:w="2478" w:type="dxa"/>
          </w:tcPr>
          <w:p w14:paraId="66977984" w14:textId="77777777" w:rsidR="00AB73CC" w:rsidRPr="00BD4160" w:rsidRDefault="00AB73CC" w:rsidP="00697B6E"/>
        </w:tc>
        <w:tc>
          <w:tcPr>
            <w:tcW w:w="2538" w:type="dxa"/>
          </w:tcPr>
          <w:p w14:paraId="5C1D9CC9" w14:textId="77777777" w:rsidR="00AB73CC" w:rsidRDefault="00AB73CC" w:rsidP="00697B6E"/>
        </w:tc>
        <w:tc>
          <w:tcPr>
            <w:tcW w:w="2340" w:type="dxa"/>
          </w:tcPr>
          <w:p w14:paraId="7714B112" w14:textId="77777777" w:rsidR="00AB73CC" w:rsidRDefault="00AB73CC" w:rsidP="00697B6E"/>
        </w:tc>
        <w:tc>
          <w:tcPr>
            <w:tcW w:w="2702" w:type="dxa"/>
          </w:tcPr>
          <w:p w14:paraId="6FD9E883" w14:textId="77777777" w:rsidR="00AB73CC" w:rsidRDefault="00AB73CC" w:rsidP="00697B6E"/>
        </w:tc>
        <w:tc>
          <w:tcPr>
            <w:tcW w:w="2571" w:type="dxa"/>
          </w:tcPr>
          <w:p w14:paraId="15B9D5DD" w14:textId="77777777" w:rsidR="00AB73CC" w:rsidRDefault="00AB73CC" w:rsidP="00697B6E"/>
        </w:tc>
      </w:tr>
    </w:tbl>
    <w:p w14:paraId="76B5D536" w14:textId="77777777" w:rsidR="00DA3B00" w:rsidRDefault="00DA3B00" w:rsidP="00A24BB4">
      <w:pPr>
        <w:spacing w:after="0"/>
      </w:pPr>
    </w:p>
    <w:tbl>
      <w:tblPr>
        <w:tblStyle w:val="TableGrid"/>
        <w:tblW w:w="0" w:type="auto"/>
        <w:tblLook w:val="04A0" w:firstRow="1" w:lastRow="0" w:firstColumn="1" w:lastColumn="0" w:noHBand="0" w:noVBand="1"/>
      </w:tblPr>
      <w:tblGrid>
        <w:gridCol w:w="1314"/>
        <w:gridCol w:w="1260"/>
        <w:gridCol w:w="1404"/>
        <w:gridCol w:w="2538"/>
        <w:gridCol w:w="1827"/>
        <w:gridCol w:w="1416"/>
        <w:gridCol w:w="1417"/>
        <w:gridCol w:w="1406"/>
        <w:gridCol w:w="1366"/>
      </w:tblGrid>
      <w:tr w:rsidR="00697B6E" w14:paraId="7139628D" w14:textId="77777777" w:rsidTr="00D773B8">
        <w:tc>
          <w:tcPr>
            <w:tcW w:w="13948" w:type="dxa"/>
            <w:gridSpan w:val="9"/>
          </w:tcPr>
          <w:p w14:paraId="38C17885" w14:textId="77777777" w:rsidR="00697B6E" w:rsidRPr="00656043" w:rsidRDefault="00FB3882" w:rsidP="00697B6E">
            <w:pPr>
              <w:rPr>
                <w:b/>
                <w:bCs/>
              </w:rPr>
            </w:pPr>
            <w:r w:rsidRPr="00656043">
              <w:rPr>
                <w:b/>
                <w:bCs/>
              </w:rPr>
              <w:t>Total volume of Associated Water taken</w:t>
            </w:r>
          </w:p>
        </w:tc>
      </w:tr>
      <w:tr w:rsidR="00777A9F" w14:paraId="0A569F0A" w14:textId="77777777" w:rsidTr="00777A9F">
        <w:tc>
          <w:tcPr>
            <w:tcW w:w="1314" w:type="dxa"/>
            <w:tcBorders>
              <w:bottom w:val="single" w:sz="4" w:space="0" w:color="auto"/>
            </w:tcBorders>
          </w:tcPr>
          <w:p w14:paraId="4186AC11" w14:textId="77777777" w:rsidR="00697B6E" w:rsidRDefault="00697B6E" w:rsidP="00697B6E">
            <w:r w:rsidRPr="008F4BBB">
              <w:t>Attribute name</w:t>
            </w:r>
          </w:p>
        </w:tc>
        <w:tc>
          <w:tcPr>
            <w:tcW w:w="1260" w:type="dxa"/>
            <w:tcBorders>
              <w:bottom w:val="single" w:sz="4" w:space="0" w:color="auto"/>
            </w:tcBorders>
          </w:tcPr>
          <w:p w14:paraId="6683D0EE" w14:textId="77777777" w:rsidR="00697B6E" w:rsidRPr="00656043" w:rsidRDefault="001E7502" w:rsidP="00697B6E">
            <w:pPr>
              <w:rPr>
                <w:b/>
              </w:rPr>
            </w:pPr>
            <w:r w:rsidRPr="00656043">
              <w:rPr>
                <w:b/>
                <w:vertAlign w:val="superscript"/>
              </w:rPr>
              <w:t>14</w:t>
            </w:r>
            <w:r w:rsidR="00697B6E" w:rsidRPr="00656043">
              <w:rPr>
                <w:b/>
              </w:rPr>
              <w:t>Reporting Period - Date from</w:t>
            </w:r>
          </w:p>
        </w:tc>
        <w:tc>
          <w:tcPr>
            <w:tcW w:w="1404" w:type="dxa"/>
            <w:tcBorders>
              <w:bottom w:val="single" w:sz="4" w:space="0" w:color="auto"/>
            </w:tcBorders>
          </w:tcPr>
          <w:p w14:paraId="69F3229C" w14:textId="77777777" w:rsidR="00697B6E" w:rsidRPr="00656043" w:rsidRDefault="001E7502" w:rsidP="00697B6E">
            <w:pPr>
              <w:rPr>
                <w:b/>
              </w:rPr>
            </w:pPr>
            <w:r w:rsidRPr="00656043">
              <w:rPr>
                <w:b/>
                <w:vertAlign w:val="superscript"/>
              </w:rPr>
              <w:t>15</w:t>
            </w:r>
            <w:r w:rsidR="00697B6E" w:rsidRPr="00656043">
              <w:rPr>
                <w:b/>
              </w:rPr>
              <w:t>Reporting Period - Date to</w:t>
            </w:r>
          </w:p>
        </w:tc>
        <w:tc>
          <w:tcPr>
            <w:tcW w:w="2538" w:type="dxa"/>
            <w:tcBorders>
              <w:bottom w:val="single" w:sz="4" w:space="0" w:color="auto"/>
            </w:tcBorders>
          </w:tcPr>
          <w:p w14:paraId="2F83A6F2" w14:textId="77777777" w:rsidR="00697B6E" w:rsidRPr="00656043" w:rsidRDefault="001E7502" w:rsidP="00697B6E">
            <w:pPr>
              <w:rPr>
                <w:b/>
              </w:rPr>
            </w:pPr>
            <w:r w:rsidRPr="00656043">
              <w:rPr>
                <w:b/>
                <w:vertAlign w:val="superscript"/>
              </w:rPr>
              <w:t>16</w:t>
            </w:r>
            <w:r w:rsidR="00697B6E" w:rsidRPr="00656043">
              <w:rPr>
                <w:b/>
              </w:rPr>
              <w:t>Total volume of Associated Water taken in Megalitres (ML)</w:t>
            </w:r>
          </w:p>
        </w:tc>
        <w:tc>
          <w:tcPr>
            <w:tcW w:w="1827" w:type="dxa"/>
            <w:tcBorders>
              <w:bottom w:val="single" w:sz="4" w:space="0" w:color="auto"/>
            </w:tcBorders>
          </w:tcPr>
          <w:p w14:paraId="68A85772" w14:textId="77777777" w:rsidR="00697B6E" w:rsidRPr="00656043" w:rsidRDefault="003704C8" w:rsidP="00697B6E">
            <w:pPr>
              <w:rPr>
                <w:b/>
              </w:rPr>
            </w:pPr>
            <w:r w:rsidRPr="00656043">
              <w:rPr>
                <w:b/>
                <w:vertAlign w:val="superscript"/>
              </w:rPr>
              <w:t>17</w:t>
            </w:r>
            <w:r w:rsidR="00697B6E" w:rsidRPr="00656043">
              <w:rPr>
                <w:b/>
              </w:rPr>
              <w:t>Calculation method used</w:t>
            </w:r>
          </w:p>
        </w:tc>
        <w:tc>
          <w:tcPr>
            <w:tcW w:w="1416" w:type="dxa"/>
            <w:tcBorders>
              <w:bottom w:val="single" w:sz="4" w:space="0" w:color="auto"/>
            </w:tcBorders>
          </w:tcPr>
          <w:p w14:paraId="1D2F9FD6" w14:textId="77777777" w:rsidR="00697B6E" w:rsidRPr="00656043" w:rsidRDefault="003704C8" w:rsidP="00697B6E">
            <w:pPr>
              <w:rPr>
                <w:b/>
              </w:rPr>
            </w:pPr>
            <w:r w:rsidRPr="00656043">
              <w:rPr>
                <w:b/>
                <w:vertAlign w:val="superscript"/>
              </w:rPr>
              <w:t>18</w:t>
            </w:r>
            <w:r w:rsidR="005E75CF" w:rsidRPr="00656043">
              <w:rPr>
                <w:b/>
              </w:rPr>
              <w:t>Calculation frequency</w:t>
            </w:r>
          </w:p>
        </w:tc>
        <w:tc>
          <w:tcPr>
            <w:tcW w:w="1417" w:type="dxa"/>
            <w:tcBorders>
              <w:bottom w:val="single" w:sz="4" w:space="0" w:color="auto"/>
            </w:tcBorders>
          </w:tcPr>
          <w:p w14:paraId="47138C0A" w14:textId="77777777" w:rsidR="00697B6E" w:rsidRPr="00656043" w:rsidRDefault="003704C8" w:rsidP="00697B6E">
            <w:pPr>
              <w:rPr>
                <w:b/>
              </w:rPr>
            </w:pPr>
            <w:r w:rsidRPr="00656043">
              <w:rPr>
                <w:b/>
                <w:vertAlign w:val="superscript"/>
              </w:rPr>
              <w:t>19</w:t>
            </w:r>
            <w:r w:rsidR="005E75CF" w:rsidRPr="00656043">
              <w:rPr>
                <w:b/>
              </w:rPr>
              <w:t>Alternative method used</w:t>
            </w:r>
          </w:p>
        </w:tc>
        <w:tc>
          <w:tcPr>
            <w:tcW w:w="1406" w:type="dxa"/>
            <w:tcBorders>
              <w:bottom w:val="single" w:sz="4" w:space="0" w:color="auto"/>
            </w:tcBorders>
          </w:tcPr>
          <w:p w14:paraId="53F0376B" w14:textId="77777777" w:rsidR="00697B6E" w:rsidRPr="00656043" w:rsidRDefault="003704C8" w:rsidP="00697B6E">
            <w:pPr>
              <w:rPr>
                <w:b/>
              </w:rPr>
            </w:pPr>
            <w:r w:rsidRPr="00656043">
              <w:rPr>
                <w:b/>
                <w:vertAlign w:val="superscript"/>
              </w:rPr>
              <w:t>20</w:t>
            </w:r>
            <w:r w:rsidR="005E75CF" w:rsidRPr="00656043">
              <w:rPr>
                <w:b/>
              </w:rPr>
              <w:t>Date of approval</w:t>
            </w:r>
          </w:p>
        </w:tc>
        <w:tc>
          <w:tcPr>
            <w:tcW w:w="1366" w:type="dxa"/>
            <w:tcBorders>
              <w:bottom w:val="single" w:sz="4" w:space="0" w:color="auto"/>
            </w:tcBorders>
          </w:tcPr>
          <w:p w14:paraId="418AF144" w14:textId="77777777" w:rsidR="00697B6E" w:rsidRPr="00656043" w:rsidRDefault="003704C8" w:rsidP="00697B6E">
            <w:pPr>
              <w:rPr>
                <w:b/>
              </w:rPr>
            </w:pPr>
            <w:r w:rsidRPr="00656043">
              <w:rPr>
                <w:b/>
                <w:vertAlign w:val="superscript"/>
              </w:rPr>
              <w:t>21</w:t>
            </w:r>
            <w:r w:rsidR="005E75CF" w:rsidRPr="00656043">
              <w:rPr>
                <w:b/>
              </w:rPr>
              <w:t xml:space="preserve">Supporting information  </w:t>
            </w:r>
          </w:p>
        </w:tc>
      </w:tr>
      <w:tr w:rsidR="00777A9F" w:rsidRPr="00D64246" w14:paraId="73972876" w14:textId="77777777" w:rsidTr="00656043">
        <w:tc>
          <w:tcPr>
            <w:tcW w:w="1314" w:type="dxa"/>
            <w:shd w:val="clear" w:color="auto" w:fill="F2F2F2" w:themeFill="background1" w:themeFillShade="F2"/>
          </w:tcPr>
          <w:p w14:paraId="381FF43C" w14:textId="4E80A38D" w:rsidR="00697B6E" w:rsidRPr="00D64246" w:rsidRDefault="00D64246" w:rsidP="00697B6E">
            <w:r w:rsidRPr="00D64246">
              <w:t>Example</w:t>
            </w:r>
          </w:p>
        </w:tc>
        <w:tc>
          <w:tcPr>
            <w:tcW w:w="1260" w:type="dxa"/>
            <w:shd w:val="clear" w:color="auto" w:fill="F2F2F2" w:themeFill="background1" w:themeFillShade="F2"/>
          </w:tcPr>
          <w:p w14:paraId="3CE98514" w14:textId="1AA86DAA" w:rsidR="00697B6E" w:rsidRPr="00D64246" w:rsidRDefault="00D64246" w:rsidP="00697B6E">
            <w:r w:rsidRPr="00D64246">
              <w:t>1 Jul 2019</w:t>
            </w:r>
          </w:p>
        </w:tc>
        <w:tc>
          <w:tcPr>
            <w:tcW w:w="1404" w:type="dxa"/>
            <w:shd w:val="clear" w:color="auto" w:fill="F2F2F2" w:themeFill="background1" w:themeFillShade="F2"/>
          </w:tcPr>
          <w:p w14:paraId="65A31D97" w14:textId="30062AFF" w:rsidR="00697B6E" w:rsidRPr="00D64246" w:rsidRDefault="00D64246" w:rsidP="00697B6E">
            <w:r w:rsidRPr="00D64246">
              <w:t>31 Oct 2020</w:t>
            </w:r>
          </w:p>
        </w:tc>
        <w:tc>
          <w:tcPr>
            <w:tcW w:w="2538" w:type="dxa"/>
            <w:shd w:val="clear" w:color="auto" w:fill="F2F2F2" w:themeFill="background1" w:themeFillShade="F2"/>
          </w:tcPr>
          <w:p w14:paraId="3DB31514" w14:textId="141A1E7E" w:rsidR="00697B6E" w:rsidRPr="00D64246" w:rsidRDefault="00D64246" w:rsidP="00697B6E">
            <w:r w:rsidRPr="00D64246">
              <w:t>450</w:t>
            </w:r>
          </w:p>
        </w:tc>
        <w:tc>
          <w:tcPr>
            <w:tcW w:w="1827" w:type="dxa"/>
            <w:shd w:val="clear" w:color="auto" w:fill="F2F2F2" w:themeFill="background1" w:themeFillShade="F2"/>
          </w:tcPr>
          <w:p w14:paraId="1A3C7756" w14:textId="4910958C" w:rsidR="00697B6E" w:rsidRPr="00D64246" w:rsidRDefault="00D64246" w:rsidP="00697B6E">
            <w:r w:rsidRPr="00D64246">
              <w:t>B</w:t>
            </w:r>
          </w:p>
        </w:tc>
        <w:tc>
          <w:tcPr>
            <w:tcW w:w="1416" w:type="dxa"/>
            <w:shd w:val="clear" w:color="auto" w:fill="F2F2F2" w:themeFill="background1" w:themeFillShade="F2"/>
          </w:tcPr>
          <w:p w14:paraId="1CBAD445" w14:textId="77777777" w:rsidR="00697B6E" w:rsidRPr="00D64246" w:rsidRDefault="005E75CF" w:rsidP="00697B6E">
            <w:r w:rsidRPr="00D64246">
              <w:t>D</w:t>
            </w:r>
          </w:p>
        </w:tc>
        <w:tc>
          <w:tcPr>
            <w:tcW w:w="1417" w:type="dxa"/>
            <w:shd w:val="clear" w:color="auto" w:fill="F2F2F2" w:themeFill="background1" w:themeFillShade="F2"/>
          </w:tcPr>
          <w:p w14:paraId="466E0D1E" w14:textId="36626EF6" w:rsidR="00697B6E" w:rsidRPr="00D64246" w:rsidRDefault="00765606" w:rsidP="00697B6E">
            <w:r>
              <w:t>Y</w:t>
            </w:r>
          </w:p>
        </w:tc>
        <w:tc>
          <w:tcPr>
            <w:tcW w:w="1406" w:type="dxa"/>
            <w:shd w:val="clear" w:color="auto" w:fill="F2F2F2" w:themeFill="background1" w:themeFillShade="F2"/>
          </w:tcPr>
          <w:p w14:paraId="06FA1EA1" w14:textId="4C439EAA" w:rsidR="00697B6E" w:rsidRPr="00D64246" w:rsidRDefault="00765606" w:rsidP="00697B6E">
            <w:r>
              <w:t>10 Oct 2019</w:t>
            </w:r>
          </w:p>
        </w:tc>
        <w:tc>
          <w:tcPr>
            <w:tcW w:w="1366" w:type="dxa"/>
            <w:shd w:val="clear" w:color="auto" w:fill="F2F2F2" w:themeFill="background1" w:themeFillShade="F2"/>
          </w:tcPr>
          <w:p w14:paraId="4475BB17" w14:textId="592ABA58" w:rsidR="00697B6E" w:rsidRPr="00D64246" w:rsidRDefault="00765606" w:rsidP="00697B6E">
            <w:r>
              <w:t>Y</w:t>
            </w:r>
          </w:p>
        </w:tc>
      </w:tr>
      <w:tr w:rsidR="00777A9F" w14:paraId="5E6C0E55" w14:textId="77777777" w:rsidTr="00777A9F">
        <w:tc>
          <w:tcPr>
            <w:tcW w:w="1314" w:type="dxa"/>
          </w:tcPr>
          <w:p w14:paraId="08F81F2C" w14:textId="77777777" w:rsidR="003F225D" w:rsidRDefault="003F225D" w:rsidP="00697B6E"/>
        </w:tc>
        <w:tc>
          <w:tcPr>
            <w:tcW w:w="1260" w:type="dxa"/>
          </w:tcPr>
          <w:p w14:paraId="31D08878" w14:textId="77777777" w:rsidR="003F225D" w:rsidRPr="008F4BBB" w:rsidRDefault="003F225D" w:rsidP="00697B6E"/>
        </w:tc>
        <w:tc>
          <w:tcPr>
            <w:tcW w:w="1404" w:type="dxa"/>
          </w:tcPr>
          <w:p w14:paraId="281020E3" w14:textId="77777777" w:rsidR="003F225D" w:rsidRPr="00BD4160" w:rsidRDefault="003F225D" w:rsidP="00697B6E"/>
        </w:tc>
        <w:tc>
          <w:tcPr>
            <w:tcW w:w="2538" w:type="dxa"/>
          </w:tcPr>
          <w:p w14:paraId="29F523AF" w14:textId="77777777" w:rsidR="003F225D" w:rsidRDefault="003F225D" w:rsidP="00697B6E"/>
        </w:tc>
        <w:tc>
          <w:tcPr>
            <w:tcW w:w="1827" w:type="dxa"/>
          </w:tcPr>
          <w:p w14:paraId="3C66C984" w14:textId="77777777" w:rsidR="003F225D" w:rsidRDefault="003F225D" w:rsidP="00697B6E"/>
        </w:tc>
        <w:tc>
          <w:tcPr>
            <w:tcW w:w="1416" w:type="dxa"/>
          </w:tcPr>
          <w:p w14:paraId="4E4D97BB" w14:textId="77777777" w:rsidR="003F225D" w:rsidRDefault="003F225D" w:rsidP="00697B6E"/>
        </w:tc>
        <w:tc>
          <w:tcPr>
            <w:tcW w:w="1417" w:type="dxa"/>
          </w:tcPr>
          <w:p w14:paraId="11C2C56A" w14:textId="77777777" w:rsidR="003F225D" w:rsidRDefault="003F225D" w:rsidP="00697B6E"/>
        </w:tc>
        <w:tc>
          <w:tcPr>
            <w:tcW w:w="1406" w:type="dxa"/>
          </w:tcPr>
          <w:p w14:paraId="781C3D3C" w14:textId="77777777" w:rsidR="003F225D" w:rsidRDefault="003F225D" w:rsidP="00697B6E"/>
        </w:tc>
        <w:tc>
          <w:tcPr>
            <w:tcW w:w="1366" w:type="dxa"/>
          </w:tcPr>
          <w:p w14:paraId="6E661CCE" w14:textId="77777777" w:rsidR="003F225D" w:rsidRDefault="003F225D" w:rsidP="00697B6E"/>
        </w:tc>
      </w:tr>
      <w:tr w:rsidR="00150062" w14:paraId="1F62ACCA" w14:textId="77777777" w:rsidTr="002D48A4">
        <w:tc>
          <w:tcPr>
            <w:tcW w:w="13948" w:type="dxa"/>
            <w:gridSpan w:val="9"/>
          </w:tcPr>
          <w:p w14:paraId="726ECAB0" w14:textId="77777777" w:rsidR="00150062" w:rsidRDefault="00150062" w:rsidP="00697B6E">
            <w:r>
              <w:lastRenderedPageBreak/>
              <w:t>Explanation</w:t>
            </w:r>
          </w:p>
        </w:tc>
      </w:tr>
      <w:tr w:rsidR="00697B6E" w14:paraId="2C316C0B" w14:textId="77777777" w:rsidTr="00123853">
        <w:tc>
          <w:tcPr>
            <w:tcW w:w="13948" w:type="dxa"/>
            <w:gridSpan w:val="9"/>
          </w:tcPr>
          <w:p w14:paraId="278B75C2" w14:textId="77777777" w:rsidR="00697B6E" w:rsidRDefault="00697B6E" w:rsidP="009078A6">
            <w:r w:rsidRPr="00A75413">
              <w:rPr>
                <w:vertAlign w:val="superscript"/>
              </w:rPr>
              <w:t>1</w:t>
            </w:r>
            <w:r w:rsidRPr="00EC4E2F">
              <w:t xml:space="preserve">The identifier in the format ML XXXXXX for mining leases or MDL XXX for mineral development leases. Multiple entries can be made, however leases/licences included in one report must be contiguous and form part of one operation.  Only include tenures that are contributing to the associated water volume being reported.  All other tenures that are not contributing to the associated water volume total should be </w:t>
            </w:r>
            <w:r w:rsidR="009078A6">
              <w:t>recorded separately</w:t>
            </w:r>
            <w:r w:rsidRPr="00EC4E2F">
              <w:t>.</w:t>
            </w:r>
            <w:r>
              <w:t xml:space="preserve"> </w:t>
            </w:r>
          </w:p>
        </w:tc>
      </w:tr>
      <w:tr w:rsidR="00697B6E" w:rsidRPr="005C2F20" w14:paraId="581A2654" w14:textId="77777777" w:rsidTr="00123853">
        <w:tc>
          <w:tcPr>
            <w:tcW w:w="13948" w:type="dxa"/>
            <w:gridSpan w:val="9"/>
          </w:tcPr>
          <w:p w14:paraId="7F0AB04B" w14:textId="77777777" w:rsidR="00697B6E" w:rsidRPr="005C2F20" w:rsidRDefault="00722BD7" w:rsidP="00697B6E">
            <w:r w:rsidRPr="00722BD7">
              <w:rPr>
                <w:vertAlign w:val="superscript"/>
              </w:rPr>
              <w:t>2</w:t>
            </w:r>
            <w:r w:rsidR="00697B6E" w:rsidRPr="005C2F20">
              <w:t>The name of the mine operation (e.g. New Acland Mine, Carmichael Mine). The mine operation may contain multiple leases/licences but these must be contiguous and form part of one operation.</w:t>
            </w:r>
          </w:p>
        </w:tc>
      </w:tr>
      <w:tr w:rsidR="00697B6E" w14:paraId="119BD78F" w14:textId="77777777" w:rsidTr="00123853">
        <w:tc>
          <w:tcPr>
            <w:tcW w:w="13948" w:type="dxa"/>
            <w:gridSpan w:val="9"/>
          </w:tcPr>
          <w:p w14:paraId="7E3D52BB" w14:textId="77777777" w:rsidR="00697B6E" w:rsidRPr="00A75413" w:rsidRDefault="0098152D" w:rsidP="00697B6E">
            <w:pPr>
              <w:rPr>
                <w:vertAlign w:val="superscript"/>
              </w:rPr>
            </w:pPr>
            <w:r>
              <w:rPr>
                <w:vertAlign w:val="superscript"/>
              </w:rPr>
              <w:t>3</w:t>
            </w:r>
            <w:r w:rsidR="00697B6E" w:rsidRPr="00167BD0">
              <w:t xml:space="preserve">The material that is mined </w:t>
            </w:r>
            <w:proofErr w:type="spellStart"/>
            <w:r w:rsidR="00697B6E" w:rsidRPr="00167BD0">
              <w:t>ie</w:t>
            </w:r>
            <w:proofErr w:type="spellEnd"/>
            <w:r w:rsidR="00697B6E" w:rsidRPr="00167BD0">
              <w:t xml:space="preserve"> coal, silver, silica etc.</w:t>
            </w:r>
          </w:p>
        </w:tc>
      </w:tr>
      <w:tr w:rsidR="00714838" w14:paraId="50328245" w14:textId="77777777" w:rsidTr="00F27523">
        <w:tc>
          <w:tcPr>
            <w:tcW w:w="13948" w:type="dxa"/>
            <w:gridSpan w:val="9"/>
          </w:tcPr>
          <w:p w14:paraId="22A933BC" w14:textId="77777777" w:rsidR="00714838" w:rsidRPr="00167BD0" w:rsidRDefault="00714838" w:rsidP="00F27523">
            <w:pPr>
              <w:rPr>
                <w:vertAlign w:val="superscript"/>
              </w:rPr>
            </w:pPr>
            <w:r>
              <w:rPr>
                <w:vertAlign w:val="superscript"/>
              </w:rPr>
              <w:t>4</w:t>
            </w:r>
            <w:r w:rsidRPr="00082DE5">
              <w:t xml:space="preserve">The geological basin that the mine is extracting product from </w:t>
            </w:r>
            <w:proofErr w:type="spellStart"/>
            <w:r w:rsidRPr="00082DE5">
              <w:t>ie</w:t>
            </w:r>
            <w:proofErr w:type="spellEnd"/>
            <w:r w:rsidRPr="00082DE5">
              <w:t xml:space="preserve"> Bowen Basin, Galilee Basin</w:t>
            </w:r>
            <w:r>
              <w:t>.</w:t>
            </w:r>
          </w:p>
        </w:tc>
      </w:tr>
      <w:tr w:rsidR="0009122A" w:rsidRPr="000B2F04" w14:paraId="25F33A36" w14:textId="77777777" w:rsidTr="00ED512E">
        <w:tc>
          <w:tcPr>
            <w:tcW w:w="13948" w:type="dxa"/>
            <w:gridSpan w:val="9"/>
          </w:tcPr>
          <w:p w14:paraId="3CBC7C24" w14:textId="3A4DC18F" w:rsidR="0009122A" w:rsidRPr="000B2F04" w:rsidRDefault="0009122A" w:rsidP="00ED2A74">
            <w:r>
              <w:rPr>
                <w:vertAlign w:val="superscript"/>
              </w:rPr>
              <w:t>5</w:t>
            </w:r>
            <w:r>
              <w:t>Refer to Fo</w:t>
            </w:r>
            <w:r w:rsidR="00ED2A74">
              <w:t>rmation Codes Table available</w:t>
            </w:r>
            <w:r w:rsidR="00B329FE" w:rsidRPr="00ED2A74">
              <w:t xml:space="preserve"> from </w:t>
            </w:r>
            <w:r w:rsidRPr="00ED2A74">
              <w:t>Business</w:t>
            </w:r>
            <w:r w:rsidR="004314EC" w:rsidRPr="00ED2A74">
              <w:t xml:space="preserve"> </w:t>
            </w:r>
            <w:r w:rsidRPr="00ED2A74">
              <w:t>QLD web site</w:t>
            </w:r>
            <w:r w:rsidR="00ED2A74">
              <w:t xml:space="preserve"> </w:t>
            </w:r>
            <w:hyperlink r:id="rId7" w:history="1">
              <w:r w:rsidR="00ED2A74">
                <w:rPr>
                  <w:rStyle w:val="Hyperlink"/>
                </w:rPr>
                <w:t>https://www.business.qld.gov.au/industries/mining-energy-water/resources/minerals-coal/reports-notices/water-reporting</w:t>
              </w:r>
            </w:hyperlink>
          </w:p>
        </w:tc>
      </w:tr>
      <w:tr w:rsidR="005D40FE" w:rsidRPr="0001577E" w14:paraId="2D28A0C5" w14:textId="77777777" w:rsidTr="005424ED">
        <w:tc>
          <w:tcPr>
            <w:tcW w:w="13948" w:type="dxa"/>
            <w:gridSpan w:val="9"/>
          </w:tcPr>
          <w:p w14:paraId="7F0CE7E1" w14:textId="77777777" w:rsidR="005D40FE" w:rsidRPr="0001577E" w:rsidRDefault="0009122A" w:rsidP="005424ED">
            <w:r w:rsidRPr="0009122A">
              <w:rPr>
                <w:vertAlign w:val="superscript"/>
              </w:rPr>
              <w:t>6</w:t>
            </w:r>
            <w:r w:rsidR="005D40FE" w:rsidRPr="0001577E">
              <w:t>Is the mine pit floor or lowest underground working below the water table (or if more than one – below the uppermost water table)? Y= yes, N = no</w:t>
            </w:r>
          </w:p>
        </w:tc>
      </w:tr>
      <w:tr w:rsidR="00DE274E" w:rsidRPr="004F1A0D" w14:paraId="13E32A03" w14:textId="77777777" w:rsidTr="00751382">
        <w:tc>
          <w:tcPr>
            <w:tcW w:w="13948" w:type="dxa"/>
            <w:gridSpan w:val="9"/>
          </w:tcPr>
          <w:p w14:paraId="0AAC6D20" w14:textId="77777777" w:rsidR="00DE274E" w:rsidRPr="004F1A0D" w:rsidRDefault="00DE274E" w:rsidP="00751382">
            <w:r>
              <w:rPr>
                <w:vertAlign w:val="superscript"/>
              </w:rPr>
              <w:t>7</w:t>
            </w:r>
            <w:r w:rsidRPr="004F1A0D">
              <w:t>Type of seepage into the mine workings: C = continuous, E = episodic, N = not evident in the reporting period.</w:t>
            </w:r>
          </w:p>
        </w:tc>
      </w:tr>
      <w:tr w:rsidR="004118A6" w:rsidRPr="00C44A3C" w14:paraId="0D108729" w14:textId="77777777" w:rsidTr="00D95063">
        <w:tc>
          <w:tcPr>
            <w:tcW w:w="13948" w:type="dxa"/>
            <w:gridSpan w:val="9"/>
          </w:tcPr>
          <w:p w14:paraId="0CCF7036" w14:textId="77777777" w:rsidR="004118A6" w:rsidRPr="00C44A3C" w:rsidRDefault="004118A6" w:rsidP="004118A6">
            <w:r w:rsidRPr="004118A6">
              <w:rPr>
                <w:vertAlign w:val="superscript"/>
              </w:rPr>
              <w:t>8</w:t>
            </w:r>
            <w:r w:rsidRPr="00CE65C8">
              <w:t>If the mine is divided into separate sections for the purposes of the calculation - name of the section.</w:t>
            </w:r>
            <w:r>
              <w:t xml:space="preserve"> Please attach map showing sections.</w:t>
            </w:r>
          </w:p>
        </w:tc>
      </w:tr>
      <w:tr w:rsidR="00713189" w:rsidRPr="00C44A3C" w14:paraId="6BD6831D" w14:textId="77777777" w:rsidTr="00D95063">
        <w:tc>
          <w:tcPr>
            <w:tcW w:w="13948" w:type="dxa"/>
            <w:gridSpan w:val="9"/>
          </w:tcPr>
          <w:p w14:paraId="4E1DE492" w14:textId="77777777" w:rsidR="00713189" w:rsidRPr="00713189" w:rsidRDefault="00713189" w:rsidP="004118A6">
            <w:r w:rsidRPr="00713189">
              <w:rPr>
                <w:vertAlign w:val="superscript"/>
              </w:rPr>
              <w:t>9</w:t>
            </w:r>
            <w:r>
              <w:t>A</w:t>
            </w:r>
            <w:r w:rsidRPr="00713189">
              <w:t>ny relevant comments.</w:t>
            </w:r>
          </w:p>
        </w:tc>
      </w:tr>
      <w:tr w:rsidR="00697B6E" w:rsidRPr="00C44A3C" w14:paraId="4676E7C6" w14:textId="77777777" w:rsidTr="00123853">
        <w:tc>
          <w:tcPr>
            <w:tcW w:w="13948" w:type="dxa"/>
            <w:gridSpan w:val="9"/>
          </w:tcPr>
          <w:p w14:paraId="1F70D3B7" w14:textId="77777777" w:rsidR="00697B6E" w:rsidRPr="00C44A3C" w:rsidRDefault="00F04971" w:rsidP="00697B6E">
            <w:r w:rsidRPr="00F04971">
              <w:rPr>
                <w:vertAlign w:val="superscript"/>
              </w:rPr>
              <w:t>10</w:t>
            </w:r>
            <w:r w:rsidR="00697B6E" w:rsidRPr="00C44A3C">
              <w:t>Description of aquifer interference activity</w:t>
            </w:r>
            <w:r w:rsidR="00697B6E">
              <w:t xml:space="preserve"> (Refer to Section 2 of the Guideline)</w:t>
            </w:r>
          </w:p>
        </w:tc>
      </w:tr>
      <w:tr w:rsidR="00697B6E" w:rsidRPr="005701D7" w14:paraId="403DD059" w14:textId="77777777" w:rsidTr="00123853">
        <w:tc>
          <w:tcPr>
            <w:tcW w:w="13948" w:type="dxa"/>
            <w:gridSpan w:val="9"/>
          </w:tcPr>
          <w:p w14:paraId="5AA67E08" w14:textId="77777777" w:rsidR="00697B6E" w:rsidRPr="00C061C8" w:rsidRDefault="00813C17" w:rsidP="004E4A0D">
            <w:r w:rsidRPr="00813C17">
              <w:rPr>
                <w:vertAlign w:val="superscript"/>
              </w:rPr>
              <w:t>11</w:t>
            </w:r>
            <w:r w:rsidRPr="00C061C8">
              <w:t>It</w:t>
            </w:r>
            <w:r w:rsidR="00697B6E" w:rsidRPr="00C061C8">
              <w:t xml:space="preserve"> is mandatory </w:t>
            </w:r>
            <w:r w:rsidR="004E4A0D">
              <w:t xml:space="preserve">to </w:t>
            </w:r>
            <w:r w:rsidR="00697B6E">
              <w:t xml:space="preserve">provide </w:t>
            </w:r>
            <w:r w:rsidR="004E4A0D">
              <w:t xml:space="preserve">DNRME with </w:t>
            </w:r>
            <w:r w:rsidR="004E4A0D" w:rsidRPr="00C061C8">
              <w:t xml:space="preserve">a </w:t>
            </w:r>
            <w:r w:rsidR="004E4A0D">
              <w:t xml:space="preserve">drillers </w:t>
            </w:r>
            <w:r w:rsidR="004E4A0D" w:rsidRPr="00C061C8">
              <w:t xml:space="preserve">log </w:t>
            </w:r>
            <w:r w:rsidR="00697B6E">
              <w:t xml:space="preserve">for all water bores drilled </w:t>
            </w:r>
            <w:r w:rsidR="004E4A0D">
              <w:t xml:space="preserve">under the Water Act. </w:t>
            </w:r>
            <w:r w:rsidR="004E4A0D" w:rsidRPr="004E4A0D">
              <w:t>The department assigns a registered number (RN) for each new bore</w:t>
            </w:r>
            <w:r w:rsidR="00697B6E">
              <w:t>.</w:t>
            </w:r>
          </w:p>
        </w:tc>
      </w:tr>
      <w:tr w:rsidR="00DF5533" w:rsidRPr="00C061C8" w14:paraId="19A9CB57" w14:textId="77777777" w:rsidTr="00123853">
        <w:tc>
          <w:tcPr>
            <w:tcW w:w="13948" w:type="dxa"/>
            <w:gridSpan w:val="9"/>
          </w:tcPr>
          <w:p w14:paraId="1E6EBF33" w14:textId="77777777" w:rsidR="00DF5533" w:rsidRPr="00C061C8" w:rsidRDefault="0059412A" w:rsidP="00697B6E">
            <w:r w:rsidRPr="0059412A">
              <w:rPr>
                <w:vertAlign w:val="superscript"/>
              </w:rPr>
              <w:t>12</w:t>
            </w:r>
            <w:r w:rsidR="00DF5533" w:rsidRPr="00DF5533">
              <w:t>Choose Y=Yes or N=No for identifying whether the bore is equipped with a meter compliant with AS4747-2013 and hence the water volume is accurately measured.</w:t>
            </w:r>
          </w:p>
        </w:tc>
      </w:tr>
      <w:tr w:rsidR="00DF5533" w:rsidRPr="00C061C8" w14:paraId="3DDD49D3" w14:textId="77777777" w:rsidTr="00123853">
        <w:tc>
          <w:tcPr>
            <w:tcW w:w="13948" w:type="dxa"/>
            <w:gridSpan w:val="9"/>
          </w:tcPr>
          <w:p w14:paraId="21EA8AD8" w14:textId="32AAFD87" w:rsidR="00DF5533" w:rsidRPr="00C061C8" w:rsidRDefault="0059412A" w:rsidP="002B4086">
            <w:r w:rsidRPr="0059412A">
              <w:rPr>
                <w:vertAlign w:val="superscript"/>
              </w:rPr>
              <w:t>13</w:t>
            </w:r>
            <w:r w:rsidR="00DF5533" w:rsidRPr="00DF5533">
              <w:t xml:space="preserve">If a meter compliant with AS4747-2013 has not been installed, identify the year that the meter is planned for installation (see Guideline "Quantifying the volume of associated water taken under a mining lease or mineral development licence" for timing requirements </w:t>
            </w:r>
            <w:r w:rsidR="002B4086">
              <w:t>for the</w:t>
            </w:r>
            <w:r w:rsidR="00DF5533" w:rsidRPr="00DF5533">
              <w:t xml:space="preserve"> installation of compliant meters</w:t>
            </w:r>
            <w:r w:rsidR="00F2563D">
              <w:t>)</w:t>
            </w:r>
            <w:r w:rsidR="00DF5533" w:rsidRPr="00DF5533">
              <w:t xml:space="preserve">.  </w:t>
            </w:r>
          </w:p>
        </w:tc>
      </w:tr>
      <w:tr w:rsidR="001E7502" w:rsidRPr="004F1A0D" w14:paraId="7BBAC7F4" w14:textId="77777777" w:rsidTr="000B15B7">
        <w:tc>
          <w:tcPr>
            <w:tcW w:w="13948" w:type="dxa"/>
            <w:gridSpan w:val="9"/>
          </w:tcPr>
          <w:p w14:paraId="6D65F6D2" w14:textId="77777777" w:rsidR="001E7502" w:rsidRPr="004F1A0D" w:rsidRDefault="001E7502" w:rsidP="008970E6">
            <w:r w:rsidRPr="001E7502">
              <w:rPr>
                <w:vertAlign w:val="superscript"/>
              </w:rPr>
              <w:t>14</w:t>
            </w:r>
            <w:r w:rsidR="008970E6">
              <w:t>S</w:t>
            </w:r>
            <w:r w:rsidRPr="00597882">
              <w:t xml:space="preserve">tart date </w:t>
            </w:r>
            <w:r w:rsidR="00150062">
              <w:t xml:space="preserve">and </w:t>
            </w:r>
            <w:r w:rsidR="00150062" w:rsidRPr="001E7502">
              <w:rPr>
                <w:vertAlign w:val="superscript"/>
              </w:rPr>
              <w:t>15</w:t>
            </w:r>
            <w:r w:rsidR="00150062" w:rsidRPr="00582887">
              <w:t xml:space="preserve">finish date </w:t>
            </w:r>
            <w:r w:rsidRPr="00597882">
              <w:t>for the period over which the volume of water was produced.</w:t>
            </w:r>
            <w:r w:rsidR="00150062">
              <w:t xml:space="preserve"> </w:t>
            </w:r>
          </w:p>
        </w:tc>
      </w:tr>
      <w:tr w:rsidR="001E7502" w:rsidRPr="004F1A0D" w14:paraId="588A9CF6" w14:textId="77777777" w:rsidTr="00F902EC">
        <w:tc>
          <w:tcPr>
            <w:tcW w:w="13948" w:type="dxa"/>
            <w:gridSpan w:val="9"/>
          </w:tcPr>
          <w:p w14:paraId="4795CA9C" w14:textId="77777777" w:rsidR="001E7502" w:rsidRPr="00582887" w:rsidRDefault="001E7502" w:rsidP="00F902EC">
            <w:r w:rsidRPr="001E7502">
              <w:rPr>
                <w:vertAlign w:val="superscript"/>
              </w:rPr>
              <w:t>16</w:t>
            </w:r>
            <w:r w:rsidRPr="009545D8">
              <w:t>The volume of water in megalitres (ML) taken from the section over the period specified in the Date from and Date to fields (inclusive), as calculated by the stated method</w:t>
            </w:r>
          </w:p>
        </w:tc>
      </w:tr>
      <w:tr w:rsidR="00697B6E" w:rsidRPr="004F1A0D" w14:paraId="12EB8361" w14:textId="77777777" w:rsidTr="00123853">
        <w:tc>
          <w:tcPr>
            <w:tcW w:w="13948" w:type="dxa"/>
            <w:gridSpan w:val="9"/>
          </w:tcPr>
          <w:p w14:paraId="1A99A213" w14:textId="4FCA86C1" w:rsidR="00697B6E" w:rsidRPr="009545D8" w:rsidRDefault="003704C8" w:rsidP="00560CCD">
            <w:r w:rsidRPr="003704C8">
              <w:rPr>
                <w:vertAlign w:val="superscript"/>
              </w:rPr>
              <w:t>17</w:t>
            </w:r>
            <w:r w:rsidR="00697B6E">
              <w:t>Calculation method used:</w:t>
            </w:r>
            <w:r w:rsidR="00560CCD">
              <w:t xml:space="preserve"> </w:t>
            </w:r>
            <w:r w:rsidR="00697B6E">
              <w:t>A - Alternative method</w:t>
            </w:r>
            <w:r w:rsidR="00150062">
              <w:t xml:space="preserve">; </w:t>
            </w:r>
            <w:r w:rsidR="00697B6E">
              <w:t xml:space="preserve">B - Direct measurement from </w:t>
            </w:r>
            <w:proofErr w:type="spellStart"/>
            <w:r w:rsidR="00697B6E">
              <w:t>borefield</w:t>
            </w:r>
            <w:proofErr w:type="spellEnd"/>
            <w:r w:rsidR="00697B6E">
              <w:t xml:space="preserve"> AND Water balance method</w:t>
            </w:r>
            <w:r w:rsidR="00150062">
              <w:t xml:space="preserve">; </w:t>
            </w:r>
            <w:r w:rsidR="00697B6E">
              <w:t>D - Direct measurement from bore</w:t>
            </w:r>
            <w:r w:rsidR="00CC6AB0">
              <w:t xml:space="preserve"> </w:t>
            </w:r>
            <w:r w:rsidR="00697B6E">
              <w:t>field</w:t>
            </w:r>
            <w:r w:rsidR="00150062">
              <w:t xml:space="preserve">; </w:t>
            </w:r>
            <w:r w:rsidR="00697B6E">
              <w:t>W - Water balance method</w:t>
            </w:r>
            <w:r w:rsidR="00150062">
              <w:t xml:space="preserve">; </w:t>
            </w:r>
            <w:r w:rsidR="00697B6E">
              <w:t>NM - Numerical groundwater model</w:t>
            </w:r>
            <w:r w:rsidR="00150062">
              <w:t xml:space="preserve">; </w:t>
            </w:r>
            <w:r w:rsidR="00697B6E">
              <w:t xml:space="preserve">AM - </w:t>
            </w:r>
            <w:proofErr w:type="spellStart"/>
            <w:r w:rsidR="00697B6E">
              <w:t>Analaytical</w:t>
            </w:r>
            <w:proofErr w:type="spellEnd"/>
            <w:r w:rsidR="00697B6E">
              <w:t xml:space="preserve"> groundwater model</w:t>
            </w:r>
          </w:p>
        </w:tc>
      </w:tr>
      <w:tr w:rsidR="003704C8" w:rsidRPr="00C061C8" w14:paraId="770E9FB8" w14:textId="77777777" w:rsidTr="00770DDE">
        <w:tc>
          <w:tcPr>
            <w:tcW w:w="13948" w:type="dxa"/>
            <w:gridSpan w:val="9"/>
          </w:tcPr>
          <w:p w14:paraId="701BD6DC" w14:textId="77777777" w:rsidR="003704C8" w:rsidRPr="00C061C8" w:rsidRDefault="003704C8" w:rsidP="00770DDE">
            <w:r w:rsidRPr="003704C8">
              <w:rPr>
                <w:vertAlign w:val="superscript"/>
              </w:rPr>
              <w:t>18</w:t>
            </w:r>
            <w:r w:rsidRPr="00962989">
              <w:t>Choose from D = daily. M = Monthly Y= yearly</w:t>
            </w:r>
          </w:p>
        </w:tc>
      </w:tr>
      <w:tr w:rsidR="00697B6E" w:rsidRPr="004F1A0D" w14:paraId="62797EC4" w14:textId="77777777" w:rsidTr="00123853">
        <w:tc>
          <w:tcPr>
            <w:tcW w:w="13948" w:type="dxa"/>
            <w:gridSpan w:val="9"/>
          </w:tcPr>
          <w:p w14:paraId="071241F8" w14:textId="6361C4DC" w:rsidR="00697B6E" w:rsidRPr="009F5201" w:rsidRDefault="003704C8" w:rsidP="001C206B">
            <w:r w:rsidRPr="003704C8">
              <w:rPr>
                <w:vertAlign w:val="superscript"/>
              </w:rPr>
              <w:t>19</w:t>
            </w:r>
            <w:r w:rsidR="00697B6E" w:rsidRPr="00DD6B74">
              <w:t xml:space="preserve">The volume of associated water taken due to groundwater ingress into a mine must be quantified using </w:t>
            </w:r>
            <w:r w:rsidR="00697B6E">
              <w:t>the</w:t>
            </w:r>
            <w:r w:rsidR="00697B6E" w:rsidRPr="00DD6B74">
              <w:t xml:space="preserve"> methods</w:t>
            </w:r>
            <w:r w:rsidR="00697B6E">
              <w:t xml:space="preserve"> outlined in Section 3.2.2 of the Guideline</w:t>
            </w:r>
            <w:r w:rsidR="001C206B">
              <w:t xml:space="preserve"> </w:t>
            </w:r>
            <w:r w:rsidR="00697B6E" w:rsidRPr="00DD6B74">
              <w:t>unless an alternative method is approved by the chief executive in accordance with the Regulation.</w:t>
            </w:r>
            <w:r w:rsidR="00765606">
              <w:t xml:space="preserve"> </w:t>
            </w:r>
            <w:r w:rsidR="00765606" w:rsidRPr="00765606">
              <w:t>Choose Y=Yes or N=No</w:t>
            </w:r>
            <w:r w:rsidR="00765606">
              <w:t>.</w:t>
            </w:r>
          </w:p>
        </w:tc>
      </w:tr>
      <w:tr w:rsidR="00697B6E" w:rsidRPr="004F1A0D" w14:paraId="4308BD62" w14:textId="77777777" w:rsidTr="00123853">
        <w:tc>
          <w:tcPr>
            <w:tcW w:w="13948" w:type="dxa"/>
            <w:gridSpan w:val="9"/>
          </w:tcPr>
          <w:p w14:paraId="6A00FD77" w14:textId="299E489A" w:rsidR="00697B6E" w:rsidRPr="009F5201" w:rsidRDefault="003704C8" w:rsidP="00697B6E">
            <w:r w:rsidRPr="003704C8">
              <w:rPr>
                <w:vertAlign w:val="superscript"/>
              </w:rPr>
              <w:t>20</w:t>
            </w:r>
            <w:r w:rsidR="00697B6E" w:rsidRPr="00432508">
              <w:t>If an alternative method has been approved by DNRM</w:t>
            </w:r>
            <w:r w:rsidR="00D16AF4">
              <w:t>E</w:t>
            </w:r>
            <w:r w:rsidR="00697B6E" w:rsidRPr="00432508">
              <w:t>, give date of approval letter.</w:t>
            </w:r>
          </w:p>
        </w:tc>
      </w:tr>
      <w:tr w:rsidR="003704C8" w:rsidRPr="004F1A0D" w14:paraId="24413A8F" w14:textId="77777777" w:rsidTr="003704C8">
        <w:tc>
          <w:tcPr>
            <w:tcW w:w="13948" w:type="dxa"/>
            <w:gridSpan w:val="9"/>
          </w:tcPr>
          <w:p w14:paraId="41563BCF" w14:textId="77777777" w:rsidR="003704C8" w:rsidRPr="009545D8" w:rsidRDefault="003704C8" w:rsidP="002C2CF0">
            <w:r w:rsidRPr="003704C8">
              <w:rPr>
                <w:vertAlign w:val="superscript"/>
              </w:rPr>
              <w:t>21</w:t>
            </w:r>
            <w:r w:rsidRPr="009F5201">
              <w:t>Supporting information on the calculation used for this report. Use Y= files are uploaded that include supporting information; N = no files uploaded</w:t>
            </w:r>
          </w:p>
        </w:tc>
      </w:tr>
    </w:tbl>
    <w:p w14:paraId="757048ED" w14:textId="77777777" w:rsidR="00540FEE" w:rsidRDefault="00540FEE" w:rsidP="00540FEE">
      <w:pPr>
        <w:sectPr w:rsidR="00540FEE" w:rsidSect="00F94E4F">
          <w:pgSz w:w="16838" w:h="11906" w:orient="landscape"/>
          <w:pgMar w:top="1440" w:right="1440" w:bottom="1440" w:left="1440" w:header="709" w:footer="709" w:gutter="0"/>
          <w:cols w:space="708"/>
          <w:docGrid w:linePitch="360"/>
        </w:sectPr>
      </w:pPr>
    </w:p>
    <w:p w14:paraId="6FAAA927" w14:textId="14E1A745" w:rsidR="00CC7A2E" w:rsidRDefault="00CC7A2E" w:rsidP="00540FEE">
      <w:pPr>
        <w:rPr>
          <w:b/>
        </w:rPr>
      </w:pPr>
      <w:r w:rsidRPr="00BC1ADE">
        <w:rPr>
          <w:b/>
        </w:rPr>
        <w:lastRenderedPageBreak/>
        <w:t xml:space="preserve">Good industry practice </w:t>
      </w:r>
    </w:p>
    <w:p w14:paraId="2FDAB4F2" w14:textId="62D27CD1" w:rsidR="00D71158" w:rsidRPr="00BC1ADE" w:rsidRDefault="00757AC8" w:rsidP="00540FEE">
      <w:pPr>
        <w:rPr>
          <w:b/>
        </w:rPr>
      </w:pPr>
      <w:r>
        <w:rPr>
          <w:b/>
        </w:rPr>
        <w:t>Please provide details on:</w:t>
      </w:r>
    </w:p>
    <w:p w14:paraId="01281D28" w14:textId="75711236" w:rsidR="00400C68" w:rsidRDefault="00400C68" w:rsidP="00400C68">
      <w:pPr>
        <w:pStyle w:val="ListParagraph"/>
        <w:numPr>
          <w:ilvl w:val="0"/>
          <w:numId w:val="1"/>
        </w:numPr>
      </w:pPr>
      <w:r>
        <w:t xml:space="preserve">Conceptual hydrological description </w:t>
      </w:r>
      <w:r w:rsidR="00866EAC">
        <w:t xml:space="preserve">of the site </w:t>
      </w:r>
      <w:r>
        <w:t>as it applied to AWT</w:t>
      </w:r>
      <w:r w:rsidR="00B35C79">
        <w:t xml:space="preserve"> reporting</w:t>
      </w:r>
    </w:p>
    <w:p w14:paraId="7AF32EDE" w14:textId="4B0AC1FC" w:rsidR="003561F4" w:rsidRDefault="003561F4" w:rsidP="00400C68">
      <w:pPr>
        <w:pStyle w:val="ListParagraph"/>
        <w:numPr>
          <w:ilvl w:val="0"/>
          <w:numId w:val="1"/>
        </w:numPr>
      </w:pPr>
      <w:r>
        <w:t>Supporting information for associated water take volume calculations</w:t>
      </w:r>
      <w:r w:rsidR="000A5F84">
        <w:t xml:space="preserve"> (M</w:t>
      </w:r>
      <w:r w:rsidR="00D16AF4">
        <w:t xml:space="preserve">ineral </w:t>
      </w:r>
      <w:r w:rsidR="000A5F84">
        <w:t>R</w:t>
      </w:r>
      <w:r w:rsidR="00D16AF4">
        <w:t xml:space="preserve">esources </w:t>
      </w:r>
      <w:r w:rsidR="000A5F84">
        <w:t>R</w:t>
      </w:r>
      <w:r w:rsidR="00D16AF4">
        <w:t>egulation</w:t>
      </w:r>
      <w:r w:rsidR="000A5F84">
        <w:t xml:space="preserve"> 2013 s31BA: Supporting information must be provided if requested</w:t>
      </w:r>
      <w:r w:rsidR="00866EAC">
        <w:t xml:space="preserve"> by Chief Executive</w:t>
      </w:r>
      <w:r w:rsidR="000A5F84">
        <w:t>)</w:t>
      </w:r>
    </w:p>
    <w:p w14:paraId="5E59E259" w14:textId="77777777" w:rsidR="00B35C79" w:rsidRDefault="00B35C79" w:rsidP="00400C68">
      <w:pPr>
        <w:pStyle w:val="ListParagraph"/>
        <w:numPr>
          <w:ilvl w:val="0"/>
          <w:numId w:val="1"/>
        </w:numPr>
      </w:pPr>
      <w:r>
        <w:t>Relevant details of the AWT related data collection and management</w:t>
      </w:r>
    </w:p>
    <w:p w14:paraId="394D64B2" w14:textId="77777777" w:rsidR="00540FEE" w:rsidRDefault="00540FEE" w:rsidP="00540FEE"/>
    <w:sectPr w:rsidR="00540FEE" w:rsidSect="00540FE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A320D"/>
    <w:multiLevelType w:val="hybridMultilevel"/>
    <w:tmpl w:val="921E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EF"/>
    <w:rsid w:val="0001577E"/>
    <w:rsid w:val="0001615E"/>
    <w:rsid w:val="00062087"/>
    <w:rsid w:val="00082DE5"/>
    <w:rsid w:val="0009122A"/>
    <w:rsid w:val="000A5F84"/>
    <w:rsid w:val="000B2F04"/>
    <w:rsid w:val="000E68B3"/>
    <w:rsid w:val="00150062"/>
    <w:rsid w:val="00167BD0"/>
    <w:rsid w:val="001C206B"/>
    <w:rsid w:val="001E6E14"/>
    <w:rsid w:val="001E7502"/>
    <w:rsid w:val="001F7A65"/>
    <w:rsid w:val="002947A1"/>
    <w:rsid w:val="002A341E"/>
    <w:rsid w:val="002B4086"/>
    <w:rsid w:val="003561F4"/>
    <w:rsid w:val="003704C8"/>
    <w:rsid w:val="00390B29"/>
    <w:rsid w:val="003F225D"/>
    <w:rsid w:val="00400C68"/>
    <w:rsid w:val="004118A6"/>
    <w:rsid w:val="00414957"/>
    <w:rsid w:val="00425EFD"/>
    <w:rsid w:val="004314EC"/>
    <w:rsid w:val="00432508"/>
    <w:rsid w:val="00464F7E"/>
    <w:rsid w:val="004868EF"/>
    <w:rsid w:val="004C6782"/>
    <w:rsid w:val="004E4A0D"/>
    <w:rsid w:val="004F1A0D"/>
    <w:rsid w:val="00535CA2"/>
    <w:rsid w:val="00540FEE"/>
    <w:rsid w:val="00560CCD"/>
    <w:rsid w:val="00565D1F"/>
    <w:rsid w:val="005701D7"/>
    <w:rsid w:val="00582887"/>
    <w:rsid w:val="0059412A"/>
    <w:rsid w:val="00597882"/>
    <w:rsid w:val="005A34F7"/>
    <w:rsid w:val="005C2F20"/>
    <w:rsid w:val="005D40FE"/>
    <w:rsid w:val="005E75CF"/>
    <w:rsid w:val="00607173"/>
    <w:rsid w:val="00623B60"/>
    <w:rsid w:val="00656043"/>
    <w:rsid w:val="00663833"/>
    <w:rsid w:val="00671B43"/>
    <w:rsid w:val="00697B6E"/>
    <w:rsid w:val="006C7774"/>
    <w:rsid w:val="006D37CD"/>
    <w:rsid w:val="00713189"/>
    <w:rsid w:val="00714838"/>
    <w:rsid w:val="00722BD7"/>
    <w:rsid w:val="00757AC8"/>
    <w:rsid w:val="00763AB3"/>
    <w:rsid w:val="00765606"/>
    <w:rsid w:val="00777A9F"/>
    <w:rsid w:val="00791F95"/>
    <w:rsid w:val="007F1677"/>
    <w:rsid w:val="00813C17"/>
    <w:rsid w:val="00866EAC"/>
    <w:rsid w:val="0089593B"/>
    <w:rsid w:val="008970E6"/>
    <w:rsid w:val="008F4BBB"/>
    <w:rsid w:val="009078A6"/>
    <w:rsid w:val="009545D8"/>
    <w:rsid w:val="00962989"/>
    <w:rsid w:val="0098152D"/>
    <w:rsid w:val="009B7793"/>
    <w:rsid w:val="009E64FD"/>
    <w:rsid w:val="009F5201"/>
    <w:rsid w:val="00A12C49"/>
    <w:rsid w:val="00A24BB4"/>
    <w:rsid w:val="00A42E64"/>
    <w:rsid w:val="00A60019"/>
    <w:rsid w:val="00A75413"/>
    <w:rsid w:val="00A86D67"/>
    <w:rsid w:val="00AB73CC"/>
    <w:rsid w:val="00AC7AF9"/>
    <w:rsid w:val="00B329FE"/>
    <w:rsid w:val="00B35C79"/>
    <w:rsid w:val="00B61404"/>
    <w:rsid w:val="00BA0E19"/>
    <w:rsid w:val="00BC1ADE"/>
    <w:rsid w:val="00BD4160"/>
    <w:rsid w:val="00BE270C"/>
    <w:rsid w:val="00C061C8"/>
    <w:rsid w:val="00C44A3C"/>
    <w:rsid w:val="00C8692A"/>
    <w:rsid w:val="00CC4A2C"/>
    <w:rsid w:val="00CC6AB0"/>
    <w:rsid w:val="00CC7A2E"/>
    <w:rsid w:val="00CD5D9B"/>
    <w:rsid w:val="00CE65C8"/>
    <w:rsid w:val="00CF6F4A"/>
    <w:rsid w:val="00D16AF4"/>
    <w:rsid w:val="00D2202A"/>
    <w:rsid w:val="00D63645"/>
    <w:rsid w:val="00D64246"/>
    <w:rsid w:val="00D71158"/>
    <w:rsid w:val="00DA3B00"/>
    <w:rsid w:val="00DD51F6"/>
    <w:rsid w:val="00DD6B74"/>
    <w:rsid w:val="00DE274E"/>
    <w:rsid w:val="00DF5533"/>
    <w:rsid w:val="00E11379"/>
    <w:rsid w:val="00E4296D"/>
    <w:rsid w:val="00E512BE"/>
    <w:rsid w:val="00E64761"/>
    <w:rsid w:val="00E6669B"/>
    <w:rsid w:val="00E837ED"/>
    <w:rsid w:val="00EA6EB5"/>
    <w:rsid w:val="00EC4E2F"/>
    <w:rsid w:val="00ED0CFA"/>
    <w:rsid w:val="00ED2A74"/>
    <w:rsid w:val="00EF745E"/>
    <w:rsid w:val="00F04971"/>
    <w:rsid w:val="00F17BB8"/>
    <w:rsid w:val="00F2563D"/>
    <w:rsid w:val="00F27660"/>
    <w:rsid w:val="00F468CD"/>
    <w:rsid w:val="00F94E4F"/>
    <w:rsid w:val="00FB3882"/>
    <w:rsid w:val="00FC66D3"/>
    <w:rsid w:val="00FD5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B2B8"/>
  <w15:chartTrackingRefBased/>
  <w15:docId w15:val="{7D92D9B7-0489-4944-AF8E-E569FC3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C68"/>
    <w:pPr>
      <w:ind w:left="720"/>
      <w:contextualSpacing/>
    </w:pPr>
  </w:style>
  <w:style w:type="character" w:styleId="Hyperlink">
    <w:name w:val="Hyperlink"/>
    <w:basedOn w:val="DefaultParagraphFont"/>
    <w:uiPriority w:val="99"/>
    <w:semiHidden/>
    <w:unhideWhenUsed/>
    <w:rsid w:val="00FC66D3"/>
    <w:rPr>
      <w:color w:val="0000FF"/>
      <w:u w:val="single"/>
    </w:rPr>
  </w:style>
  <w:style w:type="character" w:styleId="FollowedHyperlink">
    <w:name w:val="FollowedHyperlink"/>
    <w:basedOn w:val="DefaultParagraphFont"/>
    <w:uiPriority w:val="99"/>
    <w:semiHidden/>
    <w:unhideWhenUsed/>
    <w:rsid w:val="001F7A65"/>
    <w:rPr>
      <w:color w:val="954F72" w:themeColor="followedHyperlink"/>
      <w:u w:val="single"/>
    </w:rPr>
  </w:style>
  <w:style w:type="character" w:styleId="CommentReference">
    <w:name w:val="annotation reference"/>
    <w:basedOn w:val="DefaultParagraphFont"/>
    <w:uiPriority w:val="99"/>
    <w:semiHidden/>
    <w:unhideWhenUsed/>
    <w:rsid w:val="001F7A65"/>
    <w:rPr>
      <w:sz w:val="16"/>
      <w:szCs w:val="16"/>
    </w:rPr>
  </w:style>
  <w:style w:type="paragraph" w:styleId="CommentText">
    <w:name w:val="annotation text"/>
    <w:basedOn w:val="Normal"/>
    <w:link w:val="CommentTextChar"/>
    <w:uiPriority w:val="99"/>
    <w:semiHidden/>
    <w:unhideWhenUsed/>
    <w:rsid w:val="001F7A65"/>
    <w:pPr>
      <w:spacing w:line="240" w:lineRule="auto"/>
    </w:pPr>
    <w:rPr>
      <w:sz w:val="20"/>
      <w:szCs w:val="20"/>
    </w:rPr>
  </w:style>
  <w:style w:type="character" w:customStyle="1" w:styleId="CommentTextChar">
    <w:name w:val="Comment Text Char"/>
    <w:basedOn w:val="DefaultParagraphFont"/>
    <w:link w:val="CommentText"/>
    <w:uiPriority w:val="99"/>
    <w:semiHidden/>
    <w:rsid w:val="001F7A65"/>
    <w:rPr>
      <w:sz w:val="20"/>
      <w:szCs w:val="20"/>
    </w:rPr>
  </w:style>
  <w:style w:type="paragraph" w:styleId="CommentSubject">
    <w:name w:val="annotation subject"/>
    <w:basedOn w:val="CommentText"/>
    <w:next w:val="CommentText"/>
    <w:link w:val="CommentSubjectChar"/>
    <w:uiPriority w:val="99"/>
    <w:semiHidden/>
    <w:unhideWhenUsed/>
    <w:rsid w:val="001F7A65"/>
    <w:rPr>
      <w:b/>
      <w:bCs/>
    </w:rPr>
  </w:style>
  <w:style w:type="character" w:customStyle="1" w:styleId="CommentSubjectChar">
    <w:name w:val="Comment Subject Char"/>
    <w:basedOn w:val="CommentTextChar"/>
    <w:link w:val="CommentSubject"/>
    <w:uiPriority w:val="99"/>
    <w:semiHidden/>
    <w:rsid w:val="001F7A65"/>
    <w:rPr>
      <w:b/>
      <w:bCs/>
      <w:sz w:val="20"/>
      <w:szCs w:val="20"/>
    </w:rPr>
  </w:style>
  <w:style w:type="paragraph" w:styleId="BalloonText">
    <w:name w:val="Balloon Text"/>
    <w:basedOn w:val="Normal"/>
    <w:link w:val="BalloonTextChar"/>
    <w:uiPriority w:val="99"/>
    <w:semiHidden/>
    <w:unhideWhenUsed/>
    <w:rsid w:val="001F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usiness.qld.gov.au/industries/mining-energy-water/resources/minerals-coal/reports-notices/water-re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siness.qld.gov.au/industries/mining-energy-water/resources/minerals-coal/reports-notices/water-repor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BC44-26A4-46AE-B493-4BDD4F69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Associated Water Template reporting all tenure holders</vt:lpstr>
    </vt:vector>
  </TitlesOfParts>
  <Company>Deparment of Natural Resources, Mines and Energy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Water Template reporting all tenure holders</dc:title>
  <dc:subject>Associated Water Template reporting all tenure holders</dc:subject>
  <dc:creator>Deparment of Natural Resources, Mines and Energy</dc:creator>
  <cp:keywords>Associated water; Associated water reporting; groundwater; boreholes; mines; mining; tenure holders; Queensland</cp:keywords>
  <dc:description/>
  <cp:lastModifiedBy>BELISLE Jacqueline</cp:lastModifiedBy>
  <cp:revision>7</cp:revision>
  <dcterms:created xsi:type="dcterms:W3CDTF">2020-09-30T03:31:00Z</dcterms:created>
  <dcterms:modified xsi:type="dcterms:W3CDTF">2020-10-07T01:41:00Z</dcterms:modified>
</cp:coreProperties>
</file>